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32F08" w14:textId="482C565A" w:rsidR="00776A10" w:rsidRDefault="00776A10" w:rsidP="00776A10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7F984CC" wp14:editId="249F5F7D">
            <wp:extent cx="1371048" cy="19950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7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5DACF" w14:textId="58041111" w:rsidR="002051A6" w:rsidRPr="00E238ED" w:rsidRDefault="00E238ED" w:rsidP="00E238ED">
      <w:pPr>
        <w:jc w:val="center"/>
        <w:rPr>
          <w:b/>
          <w:bCs/>
        </w:rPr>
      </w:pPr>
      <w:r w:rsidRPr="00E238ED">
        <w:rPr>
          <w:b/>
          <w:bCs/>
        </w:rPr>
        <w:t>Terms of Reference (</w:t>
      </w:r>
      <w:proofErr w:type="spellStart"/>
      <w:r w:rsidRPr="00E238ED">
        <w:rPr>
          <w:b/>
          <w:bCs/>
        </w:rPr>
        <w:t>ToR</w:t>
      </w:r>
      <w:proofErr w:type="spellEnd"/>
      <w:r w:rsidRPr="00E238ED">
        <w:rPr>
          <w:b/>
          <w:bCs/>
        </w:rPr>
        <w:t>)</w:t>
      </w:r>
    </w:p>
    <w:p w14:paraId="04BE4429" w14:textId="5E3C34A4" w:rsidR="00E238ED" w:rsidRPr="00E238ED" w:rsidRDefault="00E238ED" w:rsidP="00E238ED">
      <w:pPr>
        <w:jc w:val="center"/>
        <w:rPr>
          <w:b/>
          <w:bCs/>
        </w:rPr>
      </w:pPr>
      <w:r w:rsidRPr="00E238ED">
        <w:rPr>
          <w:b/>
          <w:bCs/>
        </w:rPr>
        <w:t>for Consultancy on legal status for Good Neighbors International Haiti</w:t>
      </w:r>
    </w:p>
    <w:p w14:paraId="7B8CD443" w14:textId="77777777" w:rsidR="00E238ED" w:rsidRDefault="00E238ED"/>
    <w:p w14:paraId="375AF9E6" w14:textId="44EF2918" w:rsidR="00E238ED" w:rsidRPr="00E238ED" w:rsidRDefault="00E238ED" w:rsidP="00E238ED">
      <w:pPr>
        <w:pStyle w:val="ListParagraph"/>
        <w:numPr>
          <w:ilvl w:val="0"/>
          <w:numId w:val="1"/>
        </w:numPr>
        <w:rPr>
          <w:b/>
          <w:bCs/>
        </w:rPr>
      </w:pPr>
      <w:r w:rsidRPr="00E238ED">
        <w:rPr>
          <w:b/>
          <w:bCs/>
        </w:rPr>
        <w:t>Background</w:t>
      </w:r>
    </w:p>
    <w:p w14:paraId="05237800" w14:textId="69283136" w:rsidR="00E238ED" w:rsidRDefault="00E238ED" w:rsidP="00206EF6">
      <w:pPr>
        <w:jc w:val="both"/>
      </w:pPr>
      <w:r>
        <w:t>Good Neighbors International</w:t>
      </w:r>
      <w:r w:rsidR="004D0CC3">
        <w:t xml:space="preserve"> is an international humanitarian development NGO founded in Korea in 1991</w:t>
      </w:r>
      <w:r w:rsidR="00206EF6">
        <w:t xml:space="preserve"> to make the world a hunger-free place where people live together in harmony</w:t>
      </w:r>
      <w:r w:rsidR="09A4C6B3">
        <w:t>.</w:t>
      </w:r>
    </w:p>
    <w:p w14:paraId="67B4AC73" w14:textId="163A21D8" w:rsidR="00E238ED" w:rsidRDefault="00206EF6" w:rsidP="00206EF6">
      <w:pPr>
        <w:jc w:val="both"/>
      </w:pPr>
      <w:r>
        <w:t>Good Neighbors International Haiti</w:t>
      </w:r>
      <w:r w:rsidR="00E238ED">
        <w:t xml:space="preserve"> </w:t>
      </w:r>
      <w:r>
        <w:t>has been working</w:t>
      </w:r>
      <w:r w:rsidR="00E238ED">
        <w:t xml:space="preserve"> since the earthquake in 2010</w:t>
      </w:r>
      <w:r w:rsidR="00F11115">
        <w:t>; the</w:t>
      </w:r>
      <w:r w:rsidR="00E238ED">
        <w:t xml:space="preserve"> head office is located in Port-au-Prince. </w:t>
      </w:r>
      <w:r w:rsidR="00B56FCE">
        <w:t>The organization handles Community Development Projects (CDPs) in two locations</w:t>
      </w:r>
      <w:r w:rsidR="00F11115">
        <w:t xml:space="preserve">. </w:t>
      </w:r>
      <w:r w:rsidR="00F57207">
        <w:t>The first</w:t>
      </w:r>
      <w:r w:rsidR="00B56FCE">
        <w:t xml:space="preserve"> CDP is located in </w:t>
      </w:r>
      <w:proofErr w:type="spellStart"/>
      <w:r w:rsidR="00B56FCE">
        <w:t>Orangers</w:t>
      </w:r>
      <w:proofErr w:type="spellEnd"/>
      <w:r w:rsidR="00B56FCE">
        <w:t>, Croix-Des-</w:t>
      </w:r>
      <w:proofErr w:type="spellStart"/>
      <w:r w:rsidR="00B56FCE">
        <w:t>Bouquest</w:t>
      </w:r>
      <w:proofErr w:type="spellEnd"/>
      <w:r w:rsidR="00F11115">
        <w:t>,</w:t>
      </w:r>
      <w:r w:rsidR="00B56FCE">
        <w:t xml:space="preserve"> </w:t>
      </w:r>
      <w:r>
        <w:t>established</w:t>
      </w:r>
      <w:r w:rsidR="00B56FCE">
        <w:t xml:space="preserve"> in </w:t>
      </w:r>
      <w:r>
        <w:t>2013</w:t>
      </w:r>
      <w:r w:rsidR="00F11115">
        <w:t>,</w:t>
      </w:r>
      <w:r>
        <w:t xml:space="preserve"> and</w:t>
      </w:r>
      <w:r w:rsidR="004D0CC3">
        <w:t xml:space="preserve"> the second is </w:t>
      </w:r>
      <w:proofErr w:type="spellStart"/>
      <w:r w:rsidR="004D0CC3">
        <w:t>Ganthier</w:t>
      </w:r>
      <w:proofErr w:type="spellEnd"/>
      <w:r w:rsidR="004D0CC3">
        <w:t xml:space="preserve"> located near </w:t>
      </w:r>
      <w:proofErr w:type="spellStart"/>
      <w:r w:rsidR="004D0CC3">
        <w:t>Etan</w:t>
      </w:r>
      <w:r w:rsidR="00D35602">
        <w:t>g</w:t>
      </w:r>
      <w:proofErr w:type="spellEnd"/>
      <w:r w:rsidR="004D0CC3">
        <w:t xml:space="preserve"> </w:t>
      </w:r>
      <w:proofErr w:type="spellStart"/>
      <w:r w:rsidR="004D0CC3">
        <w:t>Saumâtre</w:t>
      </w:r>
      <w:proofErr w:type="spellEnd"/>
      <w:r w:rsidR="00F11115">
        <w:t>,</w:t>
      </w:r>
      <w:r w:rsidR="004D0CC3">
        <w:t xml:space="preserve"> </w:t>
      </w:r>
      <w:r w:rsidR="003D06B9">
        <w:t>established</w:t>
      </w:r>
      <w:r w:rsidR="004D0CC3">
        <w:t xml:space="preserve"> in 2016. The Community Development Projects (CDPs) </w:t>
      </w:r>
      <w:r w:rsidR="00B56FCE">
        <w:t xml:space="preserve">programs </w:t>
      </w:r>
      <w:r w:rsidR="004D0CC3">
        <w:t xml:space="preserve">that </w:t>
      </w:r>
      <w:r>
        <w:t>have</w:t>
      </w:r>
      <w:r w:rsidR="004D0CC3">
        <w:t xml:space="preserve"> been working with Sponsored programs for vulnerable children</w:t>
      </w:r>
      <w:r w:rsidR="00F57207">
        <w:t xml:space="preserve"> and communities</w:t>
      </w:r>
      <w:r w:rsidR="004D0CC3">
        <w:t>, working on sectors for Education</w:t>
      </w:r>
      <w:r w:rsidR="00B56FCE">
        <w:t xml:space="preserve"> and Protection, Health, Water, Sanitation and </w:t>
      </w:r>
      <w:r w:rsidR="00F11115">
        <w:t>Hygiene, Advocacy</w:t>
      </w:r>
      <w:r w:rsidR="00B56FCE">
        <w:t xml:space="preserve">, </w:t>
      </w:r>
      <w:r w:rsidR="004D0CC3">
        <w:t>E</w:t>
      </w:r>
      <w:r w:rsidR="00B56FCE">
        <w:t xml:space="preserve">nvironment, </w:t>
      </w:r>
      <w:r w:rsidR="004D0CC3">
        <w:t>Network, Income Generation activities</w:t>
      </w:r>
      <w:r>
        <w:t>,</w:t>
      </w:r>
      <w:r w:rsidR="004D0CC3">
        <w:t xml:space="preserve"> and has provided support for Emergency Relief to response with support for</w:t>
      </w:r>
      <w:r w:rsidR="00B56FCE">
        <w:t xml:space="preserve"> hurricanes</w:t>
      </w:r>
      <w:r w:rsidR="004D0CC3">
        <w:t xml:space="preserve">, </w:t>
      </w:r>
      <w:r w:rsidR="00B56FCE">
        <w:t>earthquakes</w:t>
      </w:r>
      <w:r w:rsidR="00F57207">
        <w:t>,</w:t>
      </w:r>
      <w:r w:rsidR="004D0CC3">
        <w:t xml:space="preserve"> and Covid-19.</w:t>
      </w:r>
    </w:p>
    <w:p w14:paraId="17054573" w14:textId="314A6AF5" w:rsidR="00206EF6" w:rsidRDefault="00206EF6" w:rsidP="00206EF6">
      <w:pPr>
        <w:jc w:val="both"/>
      </w:pPr>
      <w:r>
        <w:t xml:space="preserve">Good Neighbors International Haiti has funds that come from international donors in the form of cash and in-kind donations. Organizationally, Good Neighbors International </w:t>
      </w:r>
      <w:r w:rsidR="003D06B9">
        <w:t xml:space="preserve">Haiti </w:t>
      </w:r>
      <w:r>
        <w:t xml:space="preserve">is managed by a Country Director recruited by Headquarters. The Director has a mandate of representation which gives him the authority to negotiate, make all declarations, receive any </w:t>
      </w:r>
      <w:r w:rsidR="00F11115">
        <w:t>document,</w:t>
      </w:r>
      <w:r>
        <w:t xml:space="preserve"> and give any signature in the name and on behalf of the Organization. </w:t>
      </w:r>
    </w:p>
    <w:p w14:paraId="1188A4AB" w14:textId="424A4F0A" w:rsidR="004D0CC3" w:rsidRDefault="00206EF6" w:rsidP="00E238ED">
      <w:r>
        <w:t xml:space="preserve">Good Neighbors International has decided to terminate its operations in Haiti based on the high decrease </w:t>
      </w:r>
      <w:r w:rsidR="00F354AC">
        <w:t>in</w:t>
      </w:r>
      <w:r>
        <w:t xml:space="preserve"> </w:t>
      </w:r>
      <w:r w:rsidR="003D06B9">
        <w:t>sponsors’</w:t>
      </w:r>
      <w:r>
        <w:t xml:space="preserve"> funds to the country</w:t>
      </w:r>
      <w:r w:rsidR="00CE2170">
        <w:t>, making</w:t>
      </w:r>
      <w:r>
        <w:t xml:space="preserve"> it difficult to continue the operations in CDPs and Head Office. </w:t>
      </w:r>
    </w:p>
    <w:p w14:paraId="2DAF9CDD" w14:textId="29616FA7" w:rsidR="004D0CC3" w:rsidRPr="003D06B9" w:rsidRDefault="00206EF6" w:rsidP="003D06B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3D06B9">
        <w:rPr>
          <w:b/>
          <w:bCs/>
        </w:rPr>
        <w:t>Purpose</w:t>
      </w:r>
    </w:p>
    <w:p w14:paraId="77621475" w14:textId="77777777" w:rsidR="003D06B9" w:rsidRDefault="00206EF6" w:rsidP="003D06B9">
      <w:pPr>
        <w:spacing w:after="0"/>
      </w:pPr>
      <w:r>
        <w:t xml:space="preserve">The overall purpose of this consultancy is to establish and advise </w:t>
      </w:r>
      <w:r w:rsidR="00FA3C47">
        <w:t>and ensure</w:t>
      </w:r>
      <w:r>
        <w:t xml:space="preserve"> the legal procedure according to Haitian Non-Governmental Organizations and other laws to close </w:t>
      </w:r>
      <w:r w:rsidR="00447007">
        <w:t>and</w:t>
      </w:r>
      <w:r>
        <w:t xml:space="preserve"> finalize administrative, financial, field activities</w:t>
      </w:r>
      <w:r w:rsidR="003D06B9">
        <w:t>,</w:t>
      </w:r>
      <w:r>
        <w:t xml:space="preserve"> and legal operations of Good Neighbors International Haiti.</w:t>
      </w:r>
    </w:p>
    <w:p w14:paraId="77C3F898" w14:textId="77777777" w:rsidR="003D06B9" w:rsidRDefault="003D06B9" w:rsidP="003D06B9">
      <w:pPr>
        <w:spacing w:after="0"/>
      </w:pPr>
    </w:p>
    <w:p w14:paraId="6FA88241" w14:textId="5FB91032" w:rsidR="00206EF6" w:rsidRPr="003D06B9" w:rsidRDefault="00206EF6" w:rsidP="003D06B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3D06B9">
        <w:rPr>
          <w:b/>
          <w:bCs/>
        </w:rPr>
        <w:t>Scope of work</w:t>
      </w:r>
    </w:p>
    <w:p w14:paraId="4EB0CF4C" w14:textId="7A9656A7" w:rsidR="00206EF6" w:rsidRDefault="00206EF6" w:rsidP="003D06B9">
      <w:pPr>
        <w:spacing w:after="0"/>
      </w:pPr>
      <w:r>
        <w:t>The consultancy is expected to:</w:t>
      </w:r>
    </w:p>
    <w:p w14:paraId="5243138C" w14:textId="1EA49E7C" w:rsidR="00206EF6" w:rsidRDefault="00206EF6" w:rsidP="009A0F2E">
      <w:pPr>
        <w:pStyle w:val="ListParagraph"/>
        <w:numPr>
          <w:ilvl w:val="0"/>
          <w:numId w:val="4"/>
        </w:numPr>
        <w:ind w:left="1080"/>
      </w:pPr>
      <w:r>
        <w:t xml:space="preserve">Establish the </w:t>
      </w:r>
      <w:r w:rsidR="00FA3C47">
        <w:t>procedure based on Haiti NGO law and related to finalizing and concluding legal operations in the country.</w:t>
      </w:r>
    </w:p>
    <w:p w14:paraId="10BA0989" w14:textId="77777777" w:rsidR="00FA3C47" w:rsidRDefault="00FA3C47" w:rsidP="009A0F2E">
      <w:pPr>
        <w:pStyle w:val="ListParagraph"/>
        <w:numPr>
          <w:ilvl w:val="0"/>
          <w:numId w:val="4"/>
        </w:numPr>
        <w:ind w:left="1080"/>
      </w:pPr>
      <w:r>
        <w:t>Determine the phases and timeline based on Haiti NGO law to finalize and conclude legal operations in the country.</w:t>
      </w:r>
    </w:p>
    <w:p w14:paraId="2C2BBFDA" w14:textId="2059B33E" w:rsidR="00FA3C47" w:rsidRDefault="00FA3C47" w:rsidP="009A0F2E">
      <w:pPr>
        <w:pStyle w:val="ListParagraph"/>
        <w:numPr>
          <w:ilvl w:val="0"/>
          <w:numId w:val="4"/>
        </w:numPr>
        <w:ind w:left="1080"/>
      </w:pPr>
      <w:r>
        <w:t xml:space="preserve">Identify and review the financial, </w:t>
      </w:r>
      <w:proofErr w:type="gramStart"/>
      <w:r>
        <w:t>administrative</w:t>
      </w:r>
      <w:r w:rsidR="00D22AC1">
        <w:t>(</w:t>
      </w:r>
      <w:proofErr w:type="gramEnd"/>
      <w:r w:rsidR="00D22AC1">
        <w:t>including HR)</w:t>
      </w:r>
      <w:r>
        <w:t>, operations, and legal documentation Good Neighbors must provide and present to government entities to conclude operations according to the law.</w:t>
      </w:r>
    </w:p>
    <w:p w14:paraId="4C65D370" w14:textId="39BE41AB" w:rsidR="00447007" w:rsidRDefault="00FA3C47" w:rsidP="009A0F2E">
      <w:pPr>
        <w:pStyle w:val="ListParagraph"/>
        <w:numPr>
          <w:ilvl w:val="0"/>
          <w:numId w:val="4"/>
        </w:numPr>
        <w:ind w:left="1080"/>
      </w:pPr>
      <w:r>
        <w:t xml:space="preserve">Advise </w:t>
      </w:r>
      <w:r w:rsidR="00447007">
        <w:t xml:space="preserve">and support </w:t>
      </w:r>
      <w:r>
        <w:t xml:space="preserve">the organization </w:t>
      </w:r>
      <w:r w:rsidR="00447007">
        <w:t>and Country Director during operations closure.</w:t>
      </w:r>
    </w:p>
    <w:p w14:paraId="0834B40A" w14:textId="115ADAEE" w:rsidR="00206EF6" w:rsidRDefault="00447007" w:rsidP="009A0F2E">
      <w:pPr>
        <w:pStyle w:val="ListParagraph"/>
        <w:numPr>
          <w:ilvl w:val="0"/>
          <w:numId w:val="4"/>
        </w:numPr>
        <w:ind w:left="1080"/>
      </w:pPr>
      <w:r>
        <w:lastRenderedPageBreak/>
        <w:t xml:space="preserve">Present the required documentation and information to the Government institutions to ensure compliance </w:t>
      </w:r>
      <w:r w:rsidR="00B10C55">
        <w:t>with</w:t>
      </w:r>
      <w:r>
        <w:t xml:space="preserve"> the procedure. </w:t>
      </w:r>
    </w:p>
    <w:p w14:paraId="029B5E94" w14:textId="77777777" w:rsidR="00B10C55" w:rsidRDefault="00B10C55" w:rsidP="00B10C55">
      <w:pPr>
        <w:pStyle w:val="ListParagraph"/>
        <w:ind w:left="360"/>
      </w:pPr>
    </w:p>
    <w:p w14:paraId="11E2ED7F" w14:textId="1BC61469" w:rsidR="00E238ED" w:rsidRPr="003D06B9" w:rsidRDefault="00447007" w:rsidP="00447007">
      <w:pPr>
        <w:pStyle w:val="ListParagraph"/>
        <w:numPr>
          <w:ilvl w:val="0"/>
          <w:numId w:val="1"/>
        </w:numPr>
        <w:rPr>
          <w:b/>
          <w:bCs/>
        </w:rPr>
      </w:pPr>
      <w:r w:rsidRPr="003D06B9">
        <w:rPr>
          <w:b/>
          <w:bCs/>
        </w:rPr>
        <w:t>Expected deliverables:</w:t>
      </w:r>
    </w:p>
    <w:p w14:paraId="28130DD1" w14:textId="03341BDC" w:rsidR="00447007" w:rsidRDefault="00447007" w:rsidP="009A0F2E">
      <w:pPr>
        <w:pStyle w:val="ListParagraph"/>
        <w:numPr>
          <w:ilvl w:val="1"/>
          <w:numId w:val="1"/>
        </w:numPr>
        <w:ind w:left="1080"/>
      </w:pPr>
      <w:r>
        <w:t>Document the procedure to conclude Good Neighbors International Haiti NGO operations and legal entity.</w:t>
      </w:r>
    </w:p>
    <w:p w14:paraId="2125EE76" w14:textId="011D8351" w:rsidR="00447007" w:rsidRDefault="00447007" w:rsidP="009A0F2E">
      <w:pPr>
        <w:pStyle w:val="ListParagraph"/>
        <w:numPr>
          <w:ilvl w:val="1"/>
          <w:numId w:val="1"/>
        </w:numPr>
        <w:ind w:left="1080"/>
      </w:pPr>
      <w:r>
        <w:t>Document the phases and timeline to conclude Good Neighbors International Haiti NGO operations and legal entity.</w:t>
      </w:r>
    </w:p>
    <w:p w14:paraId="4D7CB904" w14:textId="7E6C8263" w:rsidR="00447007" w:rsidRDefault="00447007" w:rsidP="009A0F2E">
      <w:pPr>
        <w:pStyle w:val="ListParagraph"/>
        <w:numPr>
          <w:ilvl w:val="1"/>
          <w:numId w:val="1"/>
        </w:numPr>
        <w:ind w:left="1080"/>
      </w:pPr>
      <w:r>
        <w:t xml:space="preserve">Document the administrative, </w:t>
      </w:r>
      <w:r w:rsidR="0004346D">
        <w:t>operational,</w:t>
      </w:r>
      <w:r>
        <w:t xml:space="preserve"> and legal documentation required to conclude Good Neighbors International Haiti NGO operations and legal entity.</w:t>
      </w:r>
    </w:p>
    <w:p w14:paraId="6E65BED0" w14:textId="30E1A9E2" w:rsidR="00447007" w:rsidRDefault="00447007" w:rsidP="009A0F2E">
      <w:pPr>
        <w:pStyle w:val="ListParagraph"/>
        <w:numPr>
          <w:ilvl w:val="1"/>
          <w:numId w:val="1"/>
        </w:numPr>
        <w:ind w:left="1080"/>
      </w:pPr>
      <w:r>
        <w:t>Mid-term report on the advisory and process perform.</w:t>
      </w:r>
    </w:p>
    <w:p w14:paraId="10F758C9" w14:textId="77777777" w:rsidR="00DD443C" w:rsidRDefault="00343E79" w:rsidP="00DD443C">
      <w:pPr>
        <w:pStyle w:val="ListParagraph"/>
        <w:numPr>
          <w:ilvl w:val="1"/>
          <w:numId w:val="1"/>
        </w:numPr>
        <w:ind w:left="1080"/>
      </w:pPr>
      <w:r>
        <w:t>Reception of legal documents presented to correspondent Government institutions to conclude legal status.</w:t>
      </w:r>
    </w:p>
    <w:p w14:paraId="670FFAF4" w14:textId="5FF3461F" w:rsidR="003D06B9" w:rsidRDefault="00DD443C" w:rsidP="00DD443C">
      <w:pPr>
        <w:pStyle w:val="ListParagraph"/>
        <w:numPr>
          <w:ilvl w:val="1"/>
          <w:numId w:val="1"/>
        </w:numPr>
        <w:ind w:left="1080"/>
      </w:pPr>
      <w:r w:rsidRPr="00DD443C">
        <w:t xml:space="preserve">Legalized statement and final report on the procedure </w:t>
      </w:r>
      <w:r w:rsidR="009824B5">
        <w:t xml:space="preserve">competence </w:t>
      </w:r>
      <w:r w:rsidRPr="00DD443C">
        <w:t xml:space="preserve">for </w:t>
      </w:r>
      <w:r w:rsidR="00D473E0">
        <w:t>(</w:t>
      </w:r>
      <w:r w:rsidR="00D473E0" w:rsidRPr="00D473E0">
        <w:t>temporary or permanent</w:t>
      </w:r>
      <w:r w:rsidR="00D473E0">
        <w:t xml:space="preserve">) </w:t>
      </w:r>
      <w:r w:rsidRPr="00DD443C">
        <w:t>closing Good Neighbors International Haiti NGO.</w:t>
      </w:r>
    </w:p>
    <w:p w14:paraId="6C312E5B" w14:textId="77777777" w:rsidR="00DD443C" w:rsidRDefault="00DD443C" w:rsidP="00DD443C">
      <w:pPr>
        <w:pStyle w:val="ListParagraph"/>
        <w:ind w:left="1080"/>
      </w:pPr>
    </w:p>
    <w:p w14:paraId="4BD15126" w14:textId="402841CB" w:rsidR="00343E79" w:rsidRPr="003D06B9" w:rsidRDefault="00343E79" w:rsidP="00343E79">
      <w:pPr>
        <w:pStyle w:val="ListParagraph"/>
        <w:numPr>
          <w:ilvl w:val="0"/>
          <w:numId w:val="1"/>
        </w:numPr>
        <w:rPr>
          <w:b/>
          <w:bCs/>
        </w:rPr>
      </w:pPr>
      <w:r w:rsidRPr="003D06B9">
        <w:rPr>
          <w:b/>
          <w:bCs/>
        </w:rPr>
        <w:t>Schedule and timeline</w:t>
      </w:r>
    </w:p>
    <w:p w14:paraId="79C8E7A8" w14:textId="270B42B0" w:rsidR="00343E79" w:rsidRDefault="00343E79" w:rsidP="003D06B9">
      <w:pPr>
        <w:pStyle w:val="ListParagraph"/>
      </w:pPr>
      <w:r>
        <w:t>The consultancy is expected to</w:t>
      </w:r>
      <w:r w:rsidR="003D06B9">
        <w:t xml:space="preserve"> be </w:t>
      </w:r>
      <w:r>
        <w:t>conduct</w:t>
      </w:r>
      <w:r w:rsidR="003D06B9">
        <w:t>ed</w:t>
      </w:r>
      <w:r>
        <w:t xml:space="preserve"> </w:t>
      </w:r>
      <w:r w:rsidRPr="00D35602">
        <w:t xml:space="preserve">in </w:t>
      </w:r>
      <w:r w:rsidR="00D35602" w:rsidRPr="00D35602">
        <w:t>3</w:t>
      </w:r>
      <w:r w:rsidRPr="00D35602">
        <w:t xml:space="preserve"> months.  And to start </w:t>
      </w:r>
      <w:r w:rsidR="005F4776" w:rsidRPr="00D35602">
        <w:t>on</w:t>
      </w:r>
      <w:r w:rsidRPr="00D35602">
        <w:t xml:space="preserve"> August 15</w:t>
      </w:r>
      <w:r w:rsidRPr="00D35602">
        <w:rPr>
          <w:vertAlign w:val="superscript"/>
        </w:rPr>
        <w:t>th</w:t>
      </w:r>
      <w:r w:rsidRPr="00D35602">
        <w:t>.</w:t>
      </w:r>
    </w:p>
    <w:tbl>
      <w:tblPr>
        <w:tblW w:w="4435" w:type="pct"/>
        <w:tblLayout w:type="fixed"/>
        <w:tblLook w:val="04A0" w:firstRow="1" w:lastRow="0" w:firstColumn="1" w:lastColumn="0" w:noHBand="0" w:noVBand="1"/>
      </w:tblPr>
      <w:tblGrid>
        <w:gridCol w:w="545"/>
        <w:gridCol w:w="2494"/>
        <w:gridCol w:w="2112"/>
        <w:gridCol w:w="282"/>
        <w:gridCol w:w="277"/>
        <w:gridCol w:w="279"/>
        <w:gridCol w:w="277"/>
        <w:gridCol w:w="279"/>
        <w:gridCol w:w="277"/>
        <w:gridCol w:w="279"/>
        <w:gridCol w:w="280"/>
        <w:gridCol w:w="277"/>
        <w:gridCol w:w="277"/>
        <w:gridCol w:w="277"/>
        <w:gridCol w:w="282"/>
      </w:tblGrid>
      <w:tr w:rsidR="00EC2A66" w:rsidRPr="00F47C4C" w14:paraId="2062C705" w14:textId="77777777" w:rsidTr="00EC2A66">
        <w:trPr>
          <w:trHeight w:val="300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DAF4579" w14:textId="77777777" w:rsidR="00EC2A66" w:rsidRPr="00F47C4C" w:rsidRDefault="00EC2A66" w:rsidP="00F47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No.</w:t>
            </w: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8092D04" w14:textId="77777777" w:rsidR="00EC2A66" w:rsidRPr="00F47C4C" w:rsidRDefault="00EC2A66" w:rsidP="00F47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Activity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310C82D" w14:textId="77777777" w:rsidR="00EC2A66" w:rsidRPr="00F47C4C" w:rsidRDefault="00EC2A66" w:rsidP="00F47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Deliverable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DC1208" w14:textId="77777777" w:rsidR="00EC2A66" w:rsidRPr="00F47C4C" w:rsidRDefault="00EC2A66" w:rsidP="00F47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Month 1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6AC92C6" w14:textId="77777777" w:rsidR="00EC2A66" w:rsidRPr="00F47C4C" w:rsidRDefault="00EC2A66" w:rsidP="00F47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Month 2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87ACEB" w14:textId="77777777" w:rsidR="00EC2A66" w:rsidRPr="00F47C4C" w:rsidRDefault="00EC2A66" w:rsidP="00F47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Month 3</w:t>
            </w:r>
          </w:p>
        </w:tc>
      </w:tr>
      <w:tr w:rsidR="00EC2A66" w:rsidRPr="00F47C4C" w14:paraId="5FAFB5F6" w14:textId="77777777" w:rsidTr="00EC2A66">
        <w:trPr>
          <w:trHeight w:val="300"/>
        </w:trPr>
        <w:tc>
          <w:tcPr>
            <w:tcW w:w="321" w:type="pct"/>
            <w:vMerge/>
            <w:vAlign w:val="center"/>
            <w:hideMark/>
          </w:tcPr>
          <w:p w14:paraId="0879D154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14:paraId="44603412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3" w:type="pct"/>
            <w:vMerge/>
            <w:vAlign w:val="center"/>
            <w:hideMark/>
          </w:tcPr>
          <w:p w14:paraId="39BA64FD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C11E91" w14:textId="77777777" w:rsidR="00EC2A66" w:rsidRPr="00F47C4C" w:rsidRDefault="00EC2A66" w:rsidP="00F47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BE86A8" w14:textId="77777777" w:rsidR="00EC2A66" w:rsidRPr="00F47C4C" w:rsidRDefault="00EC2A66" w:rsidP="00F47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4096AC" w14:textId="77777777" w:rsidR="00EC2A66" w:rsidRPr="00F47C4C" w:rsidRDefault="00EC2A66" w:rsidP="00F47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E134CE" w14:textId="77777777" w:rsidR="00EC2A66" w:rsidRPr="00F47C4C" w:rsidRDefault="00EC2A66" w:rsidP="00F47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38107" w14:textId="77777777" w:rsidR="00EC2A66" w:rsidRPr="00F47C4C" w:rsidRDefault="00EC2A66" w:rsidP="00F47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69BA3D" w14:textId="77777777" w:rsidR="00EC2A66" w:rsidRPr="00F47C4C" w:rsidRDefault="00EC2A66" w:rsidP="00F47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1AA80D" w14:textId="77777777" w:rsidR="00EC2A66" w:rsidRPr="00F47C4C" w:rsidRDefault="00EC2A66" w:rsidP="00F47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DD828" w14:textId="77777777" w:rsidR="00EC2A66" w:rsidRPr="00F47C4C" w:rsidRDefault="00EC2A66" w:rsidP="00F47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4A63C6" w14:textId="77777777" w:rsidR="00EC2A66" w:rsidRPr="00F47C4C" w:rsidRDefault="00EC2A66" w:rsidP="00F47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E29CB0" w14:textId="77777777" w:rsidR="00EC2A66" w:rsidRPr="00F47C4C" w:rsidRDefault="00EC2A66" w:rsidP="00F47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A1EC39" w14:textId="77777777" w:rsidR="00EC2A66" w:rsidRPr="00F47C4C" w:rsidRDefault="00EC2A66" w:rsidP="00F47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F009D7" w14:textId="77777777" w:rsidR="00EC2A66" w:rsidRPr="00F47C4C" w:rsidRDefault="00EC2A66" w:rsidP="00F47C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EC2A66" w:rsidRPr="00F47C4C" w14:paraId="482A6524" w14:textId="77777777" w:rsidTr="00EC2A66">
        <w:trPr>
          <w:trHeight w:val="6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871D" w14:textId="77777777" w:rsidR="00EC2A66" w:rsidRPr="00F47C4C" w:rsidRDefault="00EC2A66" w:rsidP="00F47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6131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Meeting with Country Director and Representative.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5FCE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Meeting minutes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14:paraId="329134DC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994B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7CA7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0B86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1370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578D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87FA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594D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A824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4203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2F7A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329D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C2A66" w:rsidRPr="00F47C4C" w14:paraId="0B3C0C87" w14:textId="77777777" w:rsidTr="00EC2A66">
        <w:trPr>
          <w:trHeight w:val="9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0400" w14:textId="77777777" w:rsidR="00EC2A66" w:rsidRPr="00F47C4C" w:rsidRDefault="00EC2A66" w:rsidP="00F47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3961" w14:textId="734DFBE2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Establish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procedures</w:t>
            </w: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based on Haiti NGO law and related to finalizing and concluding legal operations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4615" w14:textId="11C4F7F4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Document the procedure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799C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43A1150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1A61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DFDD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1F64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0DC7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6BF4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2F42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B29F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47B7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1C08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561E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C2A66" w:rsidRPr="00F47C4C" w14:paraId="22258E3B" w14:textId="77777777" w:rsidTr="00EC2A66">
        <w:trPr>
          <w:trHeight w:val="9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425B" w14:textId="77777777" w:rsidR="00EC2A66" w:rsidRPr="00F47C4C" w:rsidRDefault="00EC2A66" w:rsidP="00F47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5015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Phases and timeline based on Haiti NGO law to finalize and conclude legal operations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2A38" w14:textId="4C690004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Document the phases and timeline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7218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639F50F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2155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8E67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B4B3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021C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9FCC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34B7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47FE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AA53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FDD4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9963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C2A66" w:rsidRPr="00F47C4C" w14:paraId="13246BC1" w14:textId="77777777" w:rsidTr="00EC2A66">
        <w:trPr>
          <w:trHeight w:val="9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23AF" w14:textId="77777777" w:rsidR="00EC2A66" w:rsidRPr="00F47C4C" w:rsidRDefault="00EC2A66" w:rsidP="00F47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B789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Identify financial, administrative, operations, and legal documentation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B6C5" w14:textId="73327204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Document with the list of administrative, operations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,</w:t>
            </w: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and legal documentation required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7FA7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BBA0C93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343F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54B7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C5D2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0539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1FD1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7309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FF81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CC87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60FC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8CD3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C2A66" w:rsidRPr="00F47C4C" w14:paraId="75921A75" w14:textId="77777777" w:rsidTr="00230CF7">
        <w:trPr>
          <w:trHeight w:val="9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99A3" w14:textId="77777777" w:rsidR="00EC2A66" w:rsidRPr="00F47C4C" w:rsidRDefault="00EC2A66" w:rsidP="00F47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E9D7" w14:textId="714CF81D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Review the financial, administrative, operations, and legal documentation to present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BF09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Report of review and meeting minutes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A59E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8739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BBE73F8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473B80E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14:paraId="0668A517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1913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F72C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23D5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7BD7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E2AA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5B76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78E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C2A66" w:rsidRPr="00F47C4C" w14:paraId="5675473C" w14:textId="77777777" w:rsidTr="00230CF7">
        <w:trPr>
          <w:trHeight w:val="6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F4DE" w14:textId="77777777" w:rsidR="00EC2A66" w:rsidRPr="00F47C4C" w:rsidRDefault="00EC2A66" w:rsidP="00F47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8D97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Mid-term report on the advisory and process perform.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A262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Report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8EB6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BD26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3D44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00BE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44D9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94F3224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6BE9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CBDE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829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281D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DDF7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2945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C2A66" w:rsidRPr="00F47C4C" w14:paraId="32E1BEEF" w14:textId="77777777" w:rsidTr="00D35602">
        <w:trPr>
          <w:trHeight w:val="6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A050" w14:textId="77777777" w:rsidR="00EC2A66" w:rsidRPr="00F47C4C" w:rsidRDefault="00EC2A66" w:rsidP="00F47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FCE6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Presentation and reception of documentation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C352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Reception of the presented documentation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EA5F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003A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7002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ECBE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2411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815C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7088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800B72B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E7FDB71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14:paraId="7A124A53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4EE9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04C1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C2A66" w:rsidRPr="00F47C4C" w14:paraId="1B941BCE" w14:textId="77777777" w:rsidTr="00D35602">
        <w:trPr>
          <w:trHeight w:val="6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B191" w14:textId="77777777" w:rsidR="00EC2A66" w:rsidRPr="00F47C4C" w:rsidRDefault="00EC2A66" w:rsidP="00F47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8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B9E1" w14:textId="503EF5DF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Legalized statement and final report on the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process competition.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BB09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Legalized statement and final report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415A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07EA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7D43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6AB4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3C81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F4C9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8748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9AD8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0119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F180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E57980A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170779E" w14:textId="77777777" w:rsidR="00EC2A66" w:rsidRPr="00F47C4C" w:rsidRDefault="00EC2A66" w:rsidP="00F4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F47C4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6BD3B429" w14:textId="77777777" w:rsidR="00343E79" w:rsidRDefault="00343E79" w:rsidP="00343E79">
      <w:pPr>
        <w:pStyle w:val="ListParagraph"/>
      </w:pPr>
    </w:p>
    <w:p w14:paraId="361D107A" w14:textId="5BD79242" w:rsidR="00F47C4C" w:rsidRPr="003D06B9" w:rsidRDefault="00F47C4C" w:rsidP="00F47C4C">
      <w:pPr>
        <w:pStyle w:val="ListParagraph"/>
        <w:numPr>
          <w:ilvl w:val="0"/>
          <w:numId w:val="1"/>
        </w:numPr>
        <w:spacing w:before="240" w:after="120" w:line="276" w:lineRule="auto"/>
        <w:jc w:val="both"/>
        <w:rPr>
          <w:b/>
          <w:bCs/>
        </w:rPr>
      </w:pPr>
      <w:r w:rsidRPr="003D06B9">
        <w:rPr>
          <w:b/>
          <w:bCs/>
        </w:rPr>
        <w:t>Required Competencies</w:t>
      </w:r>
    </w:p>
    <w:p w14:paraId="72CF3A1F" w14:textId="00AC24E9" w:rsidR="00F47C4C" w:rsidRDefault="00F47C4C" w:rsidP="00F47C4C">
      <w:pPr>
        <w:pStyle w:val="ListParagraph"/>
        <w:numPr>
          <w:ilvl w:val="1"/>
          <w:numId w:val="1"/>
        </w:numPr>
        <w:spacing w:before="240" w:after="120" w:line="276" w:lineRule="auto"/>
        <w:jc w:val="both"/>
      </w:pPr>
      <w:r>
        <w:t>Be an individual</w:t>
      </w:r>
      <w:r w:rsidR="009824B5">
        <w:t>, organization, lawyer,</w:t>
      </w:r>
      <w:r>
        <w:t xml:space="preserve"> or</w:t>
      </w:r>
      <w:r w:rsidR="007044BF">
        <w:t xml:space="preserve"> legal advisor.</w:t>
      </w:r>
    </w:p>
    <w:p w14:paraId="535364F5" w14:textId="14FAD019" w:rsidR="007044BF" w:rsidRDefault="007044BF" w:rsidP="00F47C4C">
      <w:pPr>
        <w:pStyle w:val="ListParagraph"/>
        <w:numPr>
          <w:ilvl w:val="1"/>
          <w:numId w:val="1"/>
        </w:numPr>
        <w:spacing w:before="240" w:after="120" w:line="276" w:lineRule="auto"/>
        <w:jc w:val="both"/>
      </w:pPr>
      <w:r>
        <w:t xml:space="preserve">Have knowledge and experience </w:t>
      </w:r>
      <w:r w:rsidR="009824B5">
        <w:t>in</w:t>
      </w:r>
      <w:r>
        <w:t xml:space="preserve"> NGO law for </w:t>
      </w:r>
      <w:r w:rsidR="009824B5">
        <w:t xml:space="preserve">the </w:t>
      </w:r>
      <w:r>
        <w:t>legalization, opening, and closure of organizations.</w:t>
      </w:r>
    </w:p>
    <w:p w14:paraId="5868B136" w14:textId="1A2681FB" w:rsidR="007044BF" w:rsidRDefault="007044BF" w:rsidP="00F47C4C">
      <w:pPr>
        <w:pStyle w:val="ListParagraph"/>
        <w:numPr>
          <w:ilvl w:val="1"/>
          <w:numId w:val="1"/>
        </w:numPr>
        <w:spacing w:before="240" w:after="120" w:line="276" w:lineRule="auto"/>
        <w:jc w:val="both"/>
      </w:pPr>
      <w:r>
        <w:t xml:space="preserve">Experience </w:t>
      </w:r>
      <w:r w:rsidR="00FA4679">
        <w:t>advising</w:t>
      </w:r>
      <w:r>
        <w:t xml:space="preserve"> other organizations on legalization, opening</w:t>
      </w:r>
      <w:r w:rsidR="00FA4679">
        <w:t>,</w:t>
      </w:r>
      <w:r>
        <w:t xml:space="preserve"> and closure, mainly to </w:t>
      </w:r>
      <w:r w:rsidR="00FA4679">
        <w:t>NGOs.</w:t>
      </w:r>
    </w:p>
    <w:p w14:paraId="0AAD1A41" w14:textId="35B7914E" w:rsidR="007044BF" w:rsidRDefault="007044BF" w:rsidP="00F47C4C">
      <w:pPr>
        <w:pStyle w:val="ListParagraph"/>
        <w:numPr>
          <w:ilvl w:val="1"/>
          <w:numId w:val="1"/>
        </w:numPr>
        <w:spacing w:before="240" w:after="120" w:line="276" w:lineRule="auto"/>
        <w:jc w:val="both"/>
      </w:pPr>
      <w:r>
        <w:t xml:space="preserve">Well-knowledge </w:t>
      </w:r>
      <w:r w:rsidR="00FA4679">
        <w:t>of</w:t>
      </w:r>
      <w:r>
        <w:t xml:space="preserve"> NGO work, legal status, and </w:t>
      </w:r>
      <w:r w:rsidR="00FA4679">
        <w:t xml:space="preserve">the </w:t>
      </w:r>
      <w:r>
        <w:t>context in Haiti</w:t>
      </w:r>
    </w:p>
    <w:p w14:paraId="3DCB6762" w14:textId="5E4E203F" w:rsidR="007044BF" w:rsidRDefault="007044BF" w:rsidP="00F47C4C">
      <w:pPr>
        <w:pStyle w:val="ListParagraph"/>
        <w:numPr>
          <w:ilvl w:val="1"/>
          <w:numId w:val="1"/>
        </w:numPr>
        <w:spacing w:before="240" w:after="120" w:line="276" w:lineRule="auto"/>
        <w:jc w:val="both"/>
      </w:pPr>
      <w:r>
        <w:t>Effective communication skills</w:t>
      </w:r>
      <w:r w:rsidR="00FA4679">
        <w:t>,</w:t>
      </w:r>
      <w:r>
        <w:t xml:space="preserve"> both verbal and written</w:t>
      </w:r>
    </w:p>
    <w:p w14:paraId="2A371C92" w14:textId="5B6285A9" w:rsidR="007044BF" w:rsidRDefault="007044BF" w:rsidP="00F47C4C">
      <w:pPr>
        <w:pStyle w:val="ListParagraph"/>
        <w:numPr>
          <w:ilvl w:val="1"/>
          <w:numId w:val="1"/>
        </w:numPr>
        <w:spacing w:before="240" w:after="120" w:line="276" w:lineRule="auto"/>
        <w:jc w:val="both"/>
      </w:pPr>
      <w:r>
        <w:t>Fluency in spoken and written English</w:t>
      </w:r>
    </w:p>
    <w:p w14:paraId="18E2833C" w14:textId="2C780F79" w:rsidR="007044BF" w:rsidRPr="00F47C4C" w:rsidRDefault="007044BF" w:rsidP="007044BF">
      <w:pPr>
        <w:pStyle w:val="ListParagraph"/>
        <w:spacing w:before="240" w:after="120" w:line="276" w:lineRule="auto"/>
        <w:jc w:val="both"/>
      </w:pPr>
    </w:p>
    <w:p w14:paraId="5AC01313" w14:textId="7C470971" w:rsidR="007044BF" w:rsidRPr="003D06B9" w:rsidRDefault="007044BF" w:rsidP="003D06B9">
      <w:pPr>
        <w:pStyle w:val="ListParagraph"/>
        <w:numPr>
          <w:ilvl w:val="0"/>
          <w:numId w:val="1"/>
        </w:numPr>
        <w:rPr>
          <w:b/>
          <w:bCs/>
        </w:rPr>
      </w:pPr>
      <w:r w:rsidRPr="003D06B9">
        <w:rPr>
          <w:b/>
          <w:bCs/>
        </w:rPr>
        <w:t>Selection criteria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5"/>
        <w:gridCol w:w="7380"/>
        <w:gridCol w:w="985"/>
      </w:tblGrid>
      <w:tr w:rsidR="007044BF" w14:paraId="443B46E1" w14:textId="77777777" w:rsidTr="00F507F5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1212766F" w14:textId="77777777" w:rsidR="007044BF" w:rsidRPr="007044BF" w:rsidRDefault="007044BF" w:rsidP="00F507F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044BF"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14:paraId="6956312D" w14:textId="77777777" w:rsidR="007044BF" w:rsidRPr="007044BF" w:rsidRDefault="007044BF" w:rsidP="00F507F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044BF">
              <w:rPr>
                <w:rFonts w:cstheme="minorHAnsi"/>
                <w:b/>
                <w:bCs/>
              </w:rPr>
              <w:t>Aspects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2AA9840A" w14:textId="77777777" w:rsidR="007044BF" w:rsidRPr="007044BF" w:rsidRDefault="007044BF" w:rsidP="00F507F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044BF">
              <w:rPr>
                <w:rFonts w:cstheme="minorHAnsi"/>
                <w:b/>
                <w:bCs/>
              </w:rPr>
              <w:t>Weight</w:t>
            </w:r>
          </w:p>
        </w:tc>
      </w:tr>
      <w:tr w:rsidR="007044BF" w14:paraId="2D403503" w14:textId="77777777" w:rsidTr="00F507F5">
        <w:tc>
          <w:tcPr>
            <w:tcW w:w="625" w:type="dxa"/>
            <w:vAlign w:val="center"/>
          </w:tcPr>
          <w:p w14:paraId="311AF803" w14:textId="77777777" w:rsidR="007044BF" w:rsidRPr="007044BF" w:rsidRDefault="007044BF" w:rsidP="00F507F5">
            <w:pPr>
              <w:spacing w:line="276" w:lineRule="auto"/>
              <w:jc w:val="center"/>
            </w:pPr>
            <w:r w:rsidRPr="007044BF">
              <w:t>1.</w:t>
            </w:r>
          </w:p>
        </w:tc>
        <w:tc>
          <w:tcPr>
            <w:tcW w:w="7380" w:type="dxa"/>
            <w:vAlign w:val="center"/>
          </w:tcPr>
          <w:p w14:paraId="72A94F7F" w14:textId="77777777" w:rsidR="007044BF" w:rsidRPr="007044BF" w:rsidRDefault="007044BF" w:rsidP="00F507F5">
            <w:pPr>
              <w:spacing w:line="276" w:lineRule="auto"/>
            </w:pPr>
            <w:r w:rsidRPr="007044BF">
              <w:t>The quality of the consultant to undertake all aspects required in the scope of work.</w:t>
            </w:r>
          </w:p>
        </w:tc>
        <w:tc>
          <w:tcPr>
            <w:tcW w:w="985" w:type="dxa"/>
            <w:vAlign w:val="center"/>
          </w:tcPr>
          <w:p w14:paraId="645BB51E" w14:textId="77777777" w:rsidR="007044BF" w:rsidRPr="007044BF" w:rsidRDefault="007044BF" w:rsidP="00F507F5">
            <w:pPr>
              <w:spacing w:line="276" w:lineRule="auto"/>
              <w:jc w:val="center"/>
            </w:pPr>
            <w:r w:rsidRPr="007044BF">
              <w:t>20</w:t>
            </w:r>
          </w:p>
        </w:tc>
      </w:tr>
      <w:tr w:rsidR="007044BF" w14:paraId="16D69751" w14:textId="77777777" w:rsidTr="00F507F5">
        <w:tc>
          <w:tcPr>
            <w:tcW w:w="625" w:type="dxa"/>
            <w:vAlign w:val="center"/>
          </w:tcPr>
          <w:p w14:paraId="133E8A43" w14:textId="77777777" w:rsidR="007044BF" w:rsidRPr="007044BF" w:rsidRDefault="007044BF" w:rsidP="00F507F5">
            <w:pPr>
              <w:spacing w:line="276" w:lineRule="auto"/>
              <w:jc w:val="center"/>
            </w:pPr>
            <w:r w:rsidRPr="007044BF">
              <w:t>2.</w:t>
            </w:r>
          </w:p>
        </w:tc>
        <w:tc>
          <w:tcPr>
            <w:tcW w:w="7380" w:type="dxa"/>
            <w:vAlign w:val="center"/>
          </w:tcPr>
          <w:p w14:paraId="614ADB78" w14:textId="3E0EEE91" w:rsidR="007044BF" w:rsidRPr="007044BF" w:rsidRDefault="007044BF" w:rsidP="00F507F5">
            <w:pPr>
              <w:spacing w:line="276" w:lineRule="auto"/>
            </w:pPr>
            <w:r w:rsidRPr="007044BF">
              <w:t xml:space="preserve">The consultant can show </w:t>
            </w:r>
            <w:r w:rsidR="008D7BCC">
              <w:t xml:space="preserve">a </w:t>
            </w:r>
            <w:r w:rsidRPr="007044BF">
              <w:t xml:space="preserve">clear understanding </w:t>
            </w:r>
            <w:r w:rsidR="008D7BCC">
              <w:t>of</w:t>
            </w:r>
            <w:r w:rsidRPr="007044BF">
              <w:t xml:space="preserve"> the required deliverables, </w:t>
            </w:r>
            <w:r w:rsidR="008D7BCC">
              <w:t>can</w:t>
            </w:r>
            <w:r w:rsidRPr="007044BF">
              <w:t xml:space="preserve"> suggest appropriate approaches to the problems, and </w:t>
            </w:r>
            <w:r w:rsidR="008D7BCC">
              <w:t xml:space="preserve">is </w:t>
            </w:r>
            <w:r w:rsidRPr="007044BF">
              <w:t>able to recommend clear action plans to achieve the objectives.</w:t>
            </w:r>
          </w:p>
        </w:tc>
        <w:tc>
          <w:tcPr>
            <w:tcW w:w="985" w:type="dxa"/>
            <w:vAlign w:val="center"/>
          </w:tcPr>
          <w:p w14:paraId="0FD26E1A" w14:textId="77777777" w:rsidR="007044BF" w:rsidRPr="007044BF" w:rsidRDefault="007044BF" w:rsidP="00F507F5">
            <w:pPr>
              <w:spacing w:line="276" w:lineRule="auto"/>
              <w:jc w:val="center"/>
            </w:pPr>
            <w:r w:rsidRPr="007044BF">
              <w:t>20</w:t>
            </w:r>
          </w:p>
        </w:tc>
      </w:tr>
      <w:tr w:rsidR="007044BF" w14:paraId="72DE2AB2" w14:textId="77777777" w:rsidTr="00F507F5">
        <w:tc>
          <w:tcPr>
            <w:tcW w:w="625" w:type="dxa"/>
            <w:vAlign w:val="center"/>
          </w:tcPr>
          <w:p w14:paraId="4177B6EC" w14:textId="77777777" w:rsidR="007044BF" w:rsidRPr="007044BF" w:rsidRDefault="007044BF" w:rsidP="00F507F5">
            <w:pPr>
              <w:spacing w:line="276" w:lineRule="auto"/>
              <w:jc w:val="center"/>
            </w:pPr>
            <w:r w:rsidRPr="007044BF">
              <w:t>3.</w:t>
            </w:r>
          </w:p>
        </w:tc>
        <w:tc>
          <w:tcPr>
            <w:tcW w:w="7380" w:type="dxa"/>
            <w:vAlign w:val="center"/>
          </w:tcPr>
          <w:p w14:paraId="28B153ED" w14:textId="45E97C30" w:rsidR="007044BF" w:rsidRPr="007044BF" w:rsidRDefault="007044BF" w:rsidP="00F507F5">
            <w:pPr>
              <w:spacing w:line="276" w:lineRule="auto"/>
            </w:pPr>
            <w:r w:rsidRPr="007044BF">
              <w:t xml:space="preserve">Demonstrate the capacity for similar </w:t>
            </w:r>
          </w:p>
        </w:tc>
        <w:tc>
          <w:tcPr>
            <w:tcW w:w="985" w:type="dxa"/>
            <w:vAlign w:val="center"/>
          </w:tcPr>
          <w:p w14:paraId="35ED7CEC" w14:textId="77777777" w:rsidR="007044BF" w:rsidRPr="007044BF" w:rsidRDefault="007044BF" w:rsidP="00F507F5">
            <w:pPr>
              <w:spacing w:line="276" w:lineRule="auto"/>
              <w:jc w:val="center"/>
            </w:pPr>
            <w:r w:rsidRPr="007044BF">
              <w:t>20</w:t>
            </w:r>
          </w:p>
        </w:tc>
      </w:tr>
      <w:tr w:rsidR="007044BF" w14:paraId="1CCF23FD" w14:textId="77777777" w:rsidTr="00F507F5">
        <w:tc>
          <w:tcPr>
            <w:tcW w:w="625" w:type="dxa"/>
            <w:vAlign w:val="center"/>
          </w:tcPr>
          <w:p w14:paraId="5018DB02" w14:textId="77777777" w:rsidR="007044BF" w:rsidRPr="007044BF" w:rsidRDefault="007044BF" w:rsidP="00F507F5">
            <w:pPr>
              <w:spacing w:line="276" w:lineRule="auto"/>
              <w:jc w:val="center"/>
            </w:pPr>
            <w:r w:rsidRPr="007044BF">
              <w:t>4.</w:t>
            </w:r>
          </w:p>
        </w:tc>
        <w:tc>
          <w:tcPr>
            <w:tcW w:w="7380" w:type="dxa"/>
            <w:vAlign w:val="center"/>
          </w:tcPr>
          <w:p w14:paraId="6496CEBD" w14:textId="469DC11D" w:rsidR="007044BF" w:rsidRPr="007044BF" w:rsidRDefault="008D7BCC" w:rsidP="00F507F5">
            <w:pPr>
              <w:spacing w:line="276" w:lineRule="auto"/>
            </w:pPr>
            <w:r>
              <w:t>The competitive</w:t>
            </w:r>
            <w:r w:rsidR="007044BF" w:rsidRPr="007044BF">
              <w:t xml:space="preserve"> price for this activity </w:t>
            </w:r>
            <w:r>
              <w:t>compares</w:t>
            </w:r>
            <w:r w:rsidR="007044BF" w:rsidRPr="007044BF">
              <w:t xml:space="preserve"> to the market.</w:t>
            </w:r>
          </w:p>
        </w:tc>
        <w:tc>
          <w:tcPr>
            <w:tcW w:w="985" w:type="dxa"/>
            <w:vAlign w:val="center"/>
          </w:tcPr>
          <w:p w14:paraId="088621E6" w14:textId="77777777" w:rsidR="007044BF" w:rsidRPr="007044BF" w:rsidRDefault="007044BF" w:rsidP="00F507F5">
            <w:pPr>
              <w:spacing w:line="276" w:lineRule="auto"/>
              <w:jc w:val="center"/>
            </w:pPr>
            <w:r w:rsidRPr="007044BF">
              <w:t>20</w:t>
            </w:r>
          </w:p>
        </w:tc>
      </w:tr>
      <w:tr w:rsidR="007044BF" w14:paraId="5DA1C74D" w14:textId="77777777" w:rsidTr="00F507F5"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51A45390" w14:textId="77777777" w:rsidR="007044BF" w:rsidRPr="007044BF" w:rsidRDefault="007044BF" w:rsidP="00F507F5">
            <w:pPr>
              <w:spacing w:line="276" w:lineRule="auto"/>
              <w:jc w:val="center"/>
            </w:pPr>
            <w:r w:rsidRPr="007044BF">
              <w:t>5.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14:paraId="28268D10" w14:textId="77777777" w:rsidR="007044BF" w:rsidRPr="007044BF" w:rsidRDefault="007044BF" w:rsidP="00F507F5">
            <w:pPr>
              <w:spacing w:line="276" w:lineRule="auto"/>
            </w:pPr>
            <w:r w:rsidRPr="007044BF">
              <w:t>Communication skills, writing skills, and language proficiency.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69FE58CE" w14:textId="77777777" w:rsidR="007044BF" w:rsidRPr="007044BF" w:rsidRDefault="007044BF" w:rsidP="00F507F5">
            <w:pPr>
              <w:spacing w:line="276" w:lineRule="auto"/>
              <w:jc w:val="center"/>
            </w:pPr>
            <w:r w:rsidRPr="007044BF">
              <w:t>10</w:t>
            </w:r>
          </w:p>
        </w:tc>
      </w:tr>
      <w:tr w:rsidR="007044BF" w14:paraId="15493861" w14:textId="77777777" w:rsidTr="00F507F5">
        <w:tc>
          <w:tcPr>
            <w:tcW w:w="625" w:type="dxa"/>
            <w:vAlign w:val="center"/>
          </w:tcPr>
          <w:p w14:paraId="2267C777" w14:textId="77777777" w:rsidR="007044BF" w:rsidRPr="007044BF" w:rsidRDefault="007044BF" w:rsidP="00F507F5">
            <w:pPr>
              <w:spacing w:line="276" w:lineRule="auto"/>
              <w:jc w:val="center"/>
            </w:pPr>
            <w:r w:rsidRPr="007044BF">
              <w:t>6.</w:t>
            </w:r>
          </w:p>
        </w:tc>
        <w:tc>
          <w:tcPr>
            <w:tcW w:w="7380" w:type="dxa"/>
            <w:vAlign w:val="center"/>
          </w:tcPr>
          <w:p w14:paraId="025BE8B1" w14:textId="1CEBCE7E" w:rsidR="007044BF" w:rsidRPr="007044BF" w:rsidRDefault="007044BF" w:rsidP="00F507F5">
            <w:pPr>
              <w:spacing w:line="276" w:lineRule="auto"/>
            </w:pPr>
            <w:r w:rsidRPr="007044BF">
              <w:t xml:space="preserve">Clear technical and financial plan </w:t>
            </w:r>
          </w:p>
        </w:tc>
        <w:tc>
          <w:tcPr>
            <w:tcW w:w="985" w:type="dxa"/>
            <w:vAlign w:val="center"/>
          </w:tcPr>
          <w:p w14:paraId="1AFA7438" w14:textId="77777777" w:rsidR="007044BF" w:rsidRPr="007044BF" w:rsidRDefault="007044BF" w:rsidP="00F507F5">
            <w:pPr>
              <w:spacing w:line="276" w:lineRule="auto"/>
              <w:jc w:val="center"/>
            </w:pPr>
            <w:r w:rsidRPr="007044BF">
              <w:t>10</w:t>
            </w:r>
          </w:p>
        </w:tc>
      </w:tr>
    </w:tbl>
    <w:p w14:paraId="0063DC98" w14:textId="77777777" w:rsidR="007044BF" w:rsidRDefault="007044BF" w:rsidP="007044BF">
      <w:pPr>
        <w:pStyle w:val="ListParagraph"/>
      </w:pPr>
    </w:p>
    <w:p w14:paraId="45A26334" w14:textId="696DC171" w:rsidR="007044BF" w:rsidRPr="003D06B9" w:rsidRDefault="007044BF" w:rsidP="007044BF">
      <w:pPr>
        <w:pStyle w:val="ListParagraph"/>
        <w:numPr>
          <w:ilvl w:val="0"/>
          <w:numId w:val="1"/>
        </w:numPr>
        <w:rPr>
          <w:b/>
          <w:bCs/>
        </w:rPr>
      </w:pPr>
      <w:r w:rsidRPr="003D06B9">
        <w:rPr>
          <w:b/>
          <w:bCs/>
        </w:rPr>
        <w:t>Payment</w:t>
      </w:r>
    </w:p>
    <w:p w14:paraId="32791E0A" w14:textId="2A503D71" w:rsidR="007044BF" w:rsidRDefault="007044BF" w:rsidP="007044BF">
      <w:pPr>
        <w:pStyle w:val="ListParagraph"/>
        <w:numPr>
          <w:ilvl w:val="1"/>
          <w:numId w:val="1"/>
        </w:numPr>
      </w:pPr>
      <w:r>
        <w:t>25% in advance</w:t>
      </w:r>
    </w:p>
    <w:p w14:paraId="56BCEBE6" w14:textId="1D08E927" w:rsidR="007044BF" w:rsidRDefault="007044BF" w:rsidP="007044BF">
      <w:pPr>
        <w:pStyle w:val="ListParagraph"/>
        <w:numPr>
          <w:ilvl w:val="1"/>
          <w:numId w:val="1"/>
        </w:numPr>
      </w:pPr>
      <w:r>
        <w:t xml:space="preserve">25% at </w:t>
      </w:r>
      <w:r w:rsidR="008D7BCC">
        <w:t>mid-process</w:t>
      </w:r>
      <w:r>
        <w:t xml:space="preserve"> with the presentation of </w:t>
      </w:r>
      <w:r w:rsidR="008D7BCC">
        <w:t xml:space="preserve">the </w:t>
      </w:r>
      <w:r>
        <w:t>mid report</w:t>
      </w:r>
    </w:p>
    <w:p w14:paraId="6398B69E" w14:textId="66194C69" w:rsidR="007044BF" w:rsidRDefault="007044BF" w:rsidP="007044BF">
      <w:pPr>
        <w:pStyle w:val="ListParagraph"/>
        <w:numPr>
          <w:ilvl w:val="1"/>
          <w:numId w:val="1"/>
        </w:numPr>
      </w:pPr>
      <w:r>
        <w:t>50% at final, with the presentation of final report and documents</w:t>
      </w:r>
    </w:p>
    <w:p w14:paraId="403504FE" w14:textId="77777777" w:rsidR="007044BF" w:rsidRDefault="007044BF" w:rsidP="007044BF">
      <w:pPr>
        <w:pStyle w:val="ListParagraph"/>
        <w:ind w:left="1440"/>
      </w:pPr>
    </w:p>
    <w:p w14:paraId="6421FF8F" w14:textId="3C949D54" w:rsidR="007044BF" w:rsidRPr="003D06B9" w:rsidRDefault="007044BF" w:rsidP="007044BF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003D06B9">
        <w:rPr>
          <w:b/>
          <w:bCs/>
          <w:highlight w:val="yellow"/>
        </w:rPr>
        <w:t>Application submission</w:t>
      </w:r>
      <w:r w:rsidR="006A5751">
        <w:rPr>
          <w:b/>
          <w:bCs/>
          <w:highlight w:val="yellow"/>
        </w:rPr>
        <w:t xml:space="preserve"> </w:t>
      </w:r>
    </w:p>
    <w:p w14:paraId="06119993" w14:textId="77777777" w:rsidR="007044BF" w:rsidRDefault="007044BF" w:rsidP="007044BF">
      <w:pPr>
        <w:pStyle w:val="ListParagraph"/>
      </w:pPr>
    </w:p>
    <w:p w14:paraId="23E901CE" w14:textId="6B7A3FE7" w:rsidR="006A5751" w:rsidRDefault="006A5751" w:rsidP="007044BF">
      <w:pPr>
        <w:pStyle w:val="ListParagraph"/>
      </w:pPr>
      <w:r>
        <w:t xml:space="preserve">Applicants should send the related documents in </w:t>
      </w:r>
      <w:proofErr w:type="gramStart"/>
      <w:r>
        <w:t>English  LAC</w:t>
      </w:r>
      <w:proofErr w:type="gramEnd"/>
      <w:r>
        <w:t xml:space="preserve"> Reginal Office,  </w:t>
      </w:r>
      <w:hyperlink r:id="rId11" w:history="1">
        <w:r w:rsidRPr="00E75772">
          <w:rPr>
            <w:rStyle w:val="Hyperlink"/>
          </w:rPr>
          <w:t>lac.region@goodneighbors.org</w:t>
        </w:r>
      </w:hyperlink>
      <w:r>
        <w:t xml:space="preserve"> their proposal by </w:t>
      </w:r>
      <w:r w:rsidR="00776A10">
        <w:t>August 6, 2023.</w:t>
      </w:r>
      <w:r>
        <w:t xml:space="preserve"> </w:t>
      </w:r>
    </w:p>
    <w:p w14:paraId="63435447" w14:textId="77777777" w:rsidR="006A5751" w:rsidRDefault="006A5751" w:rsidP="007044BF">
      <w:pPr>
        <w:pStyle w:val="ListParagraph"/>
      </w:pPr>
    </w:p>
    <w:p w14:paraId="18BCAF7A" w14:textId="532FE390" w:rsidR="006A5751" w:rsidRDefault="006A5751" w:rsidP="006A5751">
      <w:pPr>
        <w:pStyle w:val="ListParagraph"/>
        <w:numPr>
          <w:ilvl w:val="0"/>
          <w:numId w:val="5"/>
        </w:numPr>
      </w:pPr>
      <w:r>
        <w:t>Cover letter</w:t>
      </w:r>
      <w:r w:rsidR="00776A10">
        <w:t>, Curriculum</w:t>
      </w:r>
    </w:p>
    <w:p w14:paraId="4CC9EC1B" w14:textId="7973B427" w:rsidR="00776A10" w:rsidRDefault="00776A10" w:rsidP="006A5751">
      <w:pPr>
        <w:pStyle w:val="ListParagraph"/>
        <w:numPr>
          <w:ilvl w:val="0"/>
          <w:numId w:val="5"/>
        </w:numPr>
      </w:pPr>
      <w:r>
        <w:t>Diploma, certificate</w:t>
      </w:r>
    </w:p>
    <w:p w14:paraId="3EC54C48" w14:textId="046C0554" w:rsidR="006A5751" w:rsidRDefault="006A5751" w:rsidP="006A5751">
      <w:pPr>
        <w:pStyle w:val="ListParagraph"/>
        <w:numPr>
          <w:ilvl w:val="0"/>
          <w:numId w:val="5"/>
        </w:numPr>
      </w:pPr>
      <w:r>
        <w:t>Information on related experience</w:t>
      </w:r>
    </w:p>
    <w:p w14:paraId="369B4D7C" w14:textId="7A79C8EE" w:rsidR="006A5751" w:rsidRDefault="006A5751" w:rsidP="006A5751">
      <w:pPr>
        <w:pStyle w:val="ListParagraph"/>
        <w:numPr>
          <w:ilvl w:val="0"/>
          <w:numId w:val="5"/>
        </w:numPr>
      </w:pPr>
      <w:r>
        <w:t>Technical proposal</w:t>
      </w:r>
    </w:p>
    <w:p w14:paraId="7BDAFD98" w14:textId="77A4D4B6" w:rsidR="006A5751" w:rsidRDefault="006A5751" w:rsidP="006A5751">
      <w:pPr>
        <w:pStyle w:val="ListParagraph"/>
        <w:numPr>
          <w:ilvl w:val="0"/>
          <w:numId w:val="5"/>
        </w:numPr>
      </w:pPr>
      <w:r>
        <w:t>Economic proposals</w:t>
      </w:r>
    </w:p>
    <w:p w14:paraId="6F39E47A" w14:textId="52CE3B68" w:rsidR="00776A10" w:rsidRDefault="00776A10" w:rsidP="006A5751">
      <w:pPr>
        <w:pStyle w:val="ListParagraph"/>
        <w:numPr>
          <w:ilvl w:val="0"/>
          <w:numId w:val="5"/>
        </w:numPr>
      </w:pPr>
      <w:proofErr w:type="spellStart"/>
      <w:r>
        <w:t>Patente</w:t>
      </w:r>
      <w:proofErr w:type="spellEnd"/>
      <w:r>
        <w:t xml:space="preserve">, </w:t>
      </w:r>
      <w:proofErr w:type="spellStart"/>
      <w:r>
        <w:t>Matricule</w:t>
      </w:r>
      <w:proofErr w:type="spellEnd"/>
      <w:r>
        <w:t xml:space="preserve"> Fiscal</w:t>
      </w:r>
      <w:bookmarkStart w:id="0" w:name="_GoBack"/>
      <w:bookmarkEnd w:id="0"/>
    </w:p>
    <w:sectPr w:rsidR="00776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646B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BB1E3" w16cex:dateUtc="2023-07-14T1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646B6B" w16cid:durableId="285BB1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63AF3"/>
    <w:multiLevelType w:val="hybridMultilevel"/>
    <w:tmpl w:val="5DC610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6D5464"/>
    <w:multiLevelType w:val="hybridMultilevel"/>
    <w:tmpl w:val="009EEB9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160F2"/>
    <w:multiLevelType w:val="hybridMultilevel"/>
    <w:tmpl w:val="5E2A0CC0"/>
    <w:lvl w:ilvl="0" w:tplc="7F625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62206A"/>
    <w:multiLevelType w:val="hybridMultilevel"/>
    <w:tmpl w:val="AA2871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2616FA"/>
    <w:multiLevelType w:val="hybridMultilevel"/>
    <w:tmpl w:val="C666B35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ndy">
    <w15:presenceInfo w15:providerId="Windows Live" w15:userId="ec26e83df4d52f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ED"/>
    <w:rsid w:val="0004346D"/>
    <w:rsid w:val="002051A6"/>
    <w:rsid w:val="00206EF6"/>
    <w:rsid w:val="00221A65"/>
    <w:rsid w:val="00230637"/>
    <w:rsid w:val="00230CF7"/>
    <w:rsid w:val="00343E79"/>
    <w:rsid w:val="00387282"/>
    <w:rsid w:val="003D06B9"/>
    <w:rsid w:val="00447007"/>
    <w:rsid w:val="004D0CC3"/>
    <w:rsid w:val="005663E7"/>
    <w:rsid w:val="005F4776"/>
    <w:rsid w:val="006A5751"/>
    <w:rsid w:val="007044BF"/>
    <w:rsid w:val="00776A10"/>
    <w:rsid w:val="007F464F"/>
    <w:rsid w:val="008D7BCC"/>
    <w:rsid w:val="009824B5"/>
    <w:rsid w:val="009A0F2E"/>
    <w:rsid w:val="00B10C55"/>
    <w:rsid w:val="00B56FCE"/>
    <w:rsid w:val="00BA0AF4"/>
    <w:rsid w:val="00CE2170"/>
    <w:rsid w:val="00D22AC1"/>
    <w:rsid w:val="00D35602"/>
    <w:rsid w:val="00D473E0"/>
    <w:rsid w:val="00DD443C"/>
    <w:rsid w:val="00E238ED"/>
    <w:rsid w:val="00EC2A66"/>
    <w:rsid w:val="00F11115"/>
    <w:rsid w:val="00F150AB"/>
    <w:rsid w:val="00F354AC"/>
    <w:rsid w:val="00F47C4C"/>
    <w:rsid w:val="00F57207"/>
    <w:rsid w:val="00FA3C47"/>
    <w:rsid w:val="00FA4679"/>
    <w:rsid w:val="00FD654B"/>
    <w:rsid w:val="09A4C6B3"/>
    <w:rsid w:val="19349A58"/>
    <w:rsid w:val="361DA98C"/>
    <w:rsid w:val="500D58E0"/>
    <w:rsid w:val="76D4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3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8ED"/>
    <w:pPr>
      <w:ind w:left="720"/>
      <w:contextualSpacing/>
    </w:pPr>
  </w:style>
  <w:style w:type="table" w:styleId="TableGrid">
    <w:name w:val="Table Grid"/>
    <w:basedOn w:val="TableNormal"/>
    <w:uiPriority w:val="39"/>
    <w:rsid w:val="0034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F4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6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6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64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46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46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8ED"/>
    <w:pPr>
      <w:ind w:left="720"/>
      <w:contextualSpacing/>
    </w:pPr>
  </w:style>
  <w:style w:type="table" w:styleId="TableGrid">
    <w:name w:val="Table Grid"/>
    <w:basedOn w:val="TableNormal"/>
    <w:uiPriority w:val="39"/>
    <w:rsid w:val="0034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F4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6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6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64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46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46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c.region@goodneighbors.org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23244b-5021-4f18-b4d3-9bc5da22534f" xsi:nil="true"/>
    <lcf76f155ced4ddcb4097134ff3c332f xmlns="43286f4c-dc6b-4943-8a33-f1f8d57e6dc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ECBCDEB18574BA4BFE232844558D7" ma:contentTypeVersion="13" ma:contentTypeDescription="Create a new document." ma:contentTypeScope="" ma:versionID="5c0b055458df954a51440f41d2c08e7e">
  <xsd:schema xmlns:xsd="http://www.w3.org/2001/XMLSchema" xmlns:xs="http://www.w3.org/2001/XMLSchema" xmlns:p="http://schemas.microsoft.com/office/2006/metadata/properties" xmlns:ns2="43286f4c-dc6b-4943-8a33-f1f8d57e6dc1" xmlns:ns3="fc23244b-5021-4f18-b4d3-9bc5da22534f" targetNamespace="http://schemas.microsoft.com/office/2006/metadata/properties" ma:root="true" ma:fieldsID="61fda8e8ca3aefe6e85d7c623421cef8" ns2:_="" ns3:_="">
    <xsd:import namespace="43286f4c-dc6b-4943-8a33-f1f8d57e6dc1"/>
    <xsd:import namespace="fc23244b-5021-4f18-b4d3-9bc5da225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86f4c-dc6b-4943-8a33-f1f8d57e6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d3f7919-0260-4263-aabf-6f5e4010bb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3244b-5021-4f18-b4d3-9bc5da22534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0e31925-49ee-4e0b-9a95-6f408547247e}" ma:internalName="TaxCatchAll" ma:showField="CatchAllData" ma:web="fc23244b-5021-4f18-b4d3-9bc5da2253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8F52-93C0-4220-9DB5-5D0B5B11CF2B}">
  <ds:schemaRefs>
    <ds:schemaRef ds:uri="http://schemas.microsoft.com/office/2006/metadata/properties"/>
    <ds:schemaRef ds:uri="http://schemas.microsoft.com/office/infopath/2007/PartnerControls"/>
    <ds:schemaRef ds:uri="fc23244b-5021-4f18-b4d3-9bc5da22534f"/>
    <ds:schemaRef ds:uri="43286f4c-dc6b-4943-8a33-f1f8d57e6dc1"/>
  </ds:schemaRefs>
</ds:datastoreItem>
</file>

<file path=customXml/itemProps2.xml><?xml version="1.0" encoding="utf-8"?>
<ds:datastoreItem xmlns:ds="http://schemas.openxmlformats.org/officeDocument/2006/customXml" ds:itemID="{2002F272-18BC-4990-8463-EA8442085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86f4c-dc6b-4943-8a33-f1f8d57e6dc1"/>
    <ds:schemaRef ds:uri="fc23244b-5021-4f18-b4d3-9bc5da225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3B72A-5CD7-493F-9AFD-AC91D0376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3687D1-54F0-4D59-B095-044CBD96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</dc:creator>
  <cp:lastModifiedBy>GNH</cp:lastModifiedBy>
  <cp:revision>2</cp:revision>
  <dcterms:created xsi:type="dcterms:W3CDTF">2023-07-20T19:58:00Z</dcterms:created>
  <dcterms:modified xsi:type="dcterms:W3CDTF">2023-07-20T19:58:00Z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52462007-ba9c-43d5-9a81-de7c7b07a3d5</vt:lpwstr>
  </property>
  <property fmtid="{D5CDD505-2E9C-101B-9397-08002B2CF9AE}" pid="3" name="ContentTypeId">
    <vt:lpwstr>0x010100ED8ECBCDEB18574BA4BFE232844558D7</vt:lpwstr>
  </property>
  <property fmtid="{D5CDD505-2E9C-101B-9397-08002B2CF9AE}" pid="4" name="MediaServiceImageTags">
    <vt:lpwstr/>
  </property>
</Properties>
</file>