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EB2" w14:textId="0BF414A6" w:rsidR="00D15739" w:rsidRDefault="00D15739" w:rsidP="00745E1F">
      <w:pP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3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15622E5D" wp14:editId="1A1D37A5">
            <wp:simplePos x="0" y="0"/>
            <wp:positionH relativeFrom="column">
              <wp:posOffset>1746250</wp:posOffset>
            </wp:positionH>
            <wp:positionV relativeFrom="paragraph">
              <wp:posOffset>-392430</wp:posOffset>
            </wp:positionV>
            <wp:extent cx="1976994" cy="422275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94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F8589" w14:textId="77777777" w:rsidR="00D15739" w:rsidRDefault="00D15739" w:rsidP="00745E1F">
      <w:pP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</w:pPr>
    </w:p>
    <w:p w14:paraId="3B38BA81" w14:textId="31FB8A1C" w:rsidR="00745E1F" w:rsidRDefault="00745E1F" w:rsidP="00745E1F">
      <w:r w:rsidRPr="00745E1F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  <w:t>POSTE :</w:t>
      </w:r>
      <w:r>
        <w:t xml:space="preserve"> </w:t>
      </w:r>
      <w:r w:rsidR="00D15739"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Contractant/e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 </w:t>
      </w:r>
      <w:r w:rsidR="00D15739"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I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ndépendant</w:t>
      </w:r>
      <w:r w:rsidR="00D15739"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/e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 </w:t>
      </w:r>
      <w:r w:rsidR="00D15739"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–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 </w:t>
      </w:r>
      <w:r w:rsidR="00D15739"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Officier/ère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 de </w:t>
      </w:r>
      <w:r w:rsidR="00D15739"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C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ommunication en Haïti</w:t>
      </w:r>
    </w:p>
    <w:p w14:paraId="0A57BFE2" w14:textId="625FD1A4" w:rsidR="00745E1F" w:rsidRDefault="00745E1F" w:rsidP="00745E1F">
      <w:r w:rsidRPr="00745E1F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  <w:t>LIEU :</w:t>
      </w:r>
      <w:r>
        <w:t xml:space="preserve"> 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Haïti </w:t>
      </w:r>
      <w:r w:rsidRPr="001F1592">
        <w:rPr>
          <w:rFonts w:eastAsia="Arial Unicode MS" w:cstheme="minorHAnsi"/>
          <w:i/>
          <w:iCs/>
          <w:noProof/>
          <w:color w:val="000000"/>
          <w:spacing w:val="-3"/>
          <w:sz w:val="20"/>
          <w:szCs w:val="20"/>
          <w:lang w:val="en-US"/>
        </w:rPr>
        <w:t>(</w:t>
      </w:r>
      <w:r w:rsidRPr="001F1592">
        <w:rPr>
          <w:rFonts w:eastAsia="Arial Unicode MS" w:cstheme="minorHAnsi"/>
          <w:i/>
          <w:iCs/>
          <w:noProof/>
          <w:color w:val="000000"/>
          <w:spacing w:val="-3"/>
          <w:sz w:val="20"/>
          <w:szCs w:val="20"/>
          <w:lang w:val="en-US"/>
        </w:rPr>
        <w:t xml:space="preserve">à distance mais le/la candidat/e </w:t>
      </w:r>
      <w:r w:rsidRPr="001F1592">
        <w:rPr>
          <w:rFonts w:eastAsia="Arial Unicode MS" w:cstheme="minorHAnsi"/>
          <w:i/>
          <w:iCs/>
          <w:noProof/>
          <w:color w:val="000000"/>
          <w:spacing w:val="-3"/>
          <w:sz w:val="20"/>
          <w:szCs w:val="20"/>
          <w:lang w:val="en-US"/>
        </w:rPr>
        <w:t>doit être basé</w:t>
      </w:r>
      <w:r w:rsidRPr="001F1592">
        <w:rPr>
          <w:rFonts w:eastAsia="Arial Unicode MS" w:cstheme="minorHAnsi"/>
          <w:i/>
          <w:iCs/>
          <w:noProof/>
          <w:color w:val="000000"/>
          <w:spacing w:val="-3"/>
          <w:sz w:val="20"/>
          <w:szCs w:val="20"/>
          <w:lang w:val="en-US"/>
        </w:rPr>
        <w:t>/e</w:t>
      </w:r>
      <w:r w:rsidRPr="001F1592">
        <w:rPr>
          <w:rFonts w:eastAsia="Arial Unicode MS" w:cstheme="minorHAnsi"/>
          <w:i/>
          <w:iCs/>
          <w:noProof/>
          <w:color w:val="000000"/>
          <w:spacing w:val="-3"/>
          <w:sz w:val="20"/>
          <w:szCs w:val="20"/>
          <w:lang w:val="en-US"/>
        </w:rPr>
        <w:t xml:space="preserve"> en Haïti)</w:t>
      </w:r>
    </w:p>
    <w:p w14:paraId="6368EC7C" w14:textId="77777777" w:rsidR="00745E1F" w:rsidRDefault="00745E1F" w:rsidP="00745E1F">
      <w:r w:rsidRPr="00745E1F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  <w:t>HEURES :</w:t>
      </w:r>
      <w:r>
        <w:t xml:space="preserve"> 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Temps partiel</w:t>
      </w:r>
    </w:p>
    <w:p w14:paraId="4B453167" w14:textId="77777777" w:rsidR="00745E1F" w:rsidRDefault="00745E1F" w:rsidP="00745E1F">
      <w:r w:rsidRPr="00745E1F"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  <w:t>EMPLOYEUR :</w:t>
      </w:r>
      <w:r>
        <w:t xml:space="preserve"> </w:t>
      </w:r>
      <w:r w:rsidRP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The Vitamin Angels Alliance, Inc. (VA)</w:t>
      </w:r>
    </w:p>
    <w:p w14:paraId="14487483" w14:textId="77777777" w:rsidR="00745E1F" w:rsidRDefault="00745E1F" w:rsidP="00745E1F">
      <w:pP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19"/>
          <w:szCs w:val="19"/>
          <w:lang w:val="en-US"/>
        </w:rPr>
      </w:pPr>
    </w:p>
    <w:p w14:paraId="6817CC97" w14:textId="31F49155" w:rsidR="00745E1F" w:rsidRPr="00745E1F" w:rsidRDefault="00745E1F" w:rsidP="00745E1F">
      <w:pPr>
        <w:widowControl w:val="0"/>
        <w:spacing w:after="41" w:line="199" w:lineRule="exact"/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VITAMIN ANGELS (VA) est une organisation non gouvernementale internationale basée aux États-Unis dont la mission est d'aider les populations à risque dans le besoin - en particulier les femmes enceintes, les nouvelles mères et les enfants de moins de cinq ans - à avoir accès à des vitamines et minéraux vitaux et qui changent la vie. Pour remplir cette mission, nous fournissons des subventions annuelles de suppléments de vitamine A, de vermifuges et de multivitamines aux </w:t>
      </w:r>
      <w:r w:rsidR="001F1592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 xml:space="preserve">institutions de santé </w:t>
      </w:r>
      <w:r w:rsidRPr="00745E1F">
        <w:rPr>
          <w:rFonts w:eastAsia="Arial Unicode MS" w:cstheme="minorHAnsi"/>
          <w:noProof/>
          <w:color w:val="000000"/>
          <w:spacing w:val="-3"/>
          <w:sz w:val="20"/>
          <w:szCs w:val="20"/>
          <w:lang w:val="en-US"/>
        </w:rPr>
        <w:t>qui travaillent avec des enfants de 6 à 59 mois et/ou des femmes enceintes.</w:t>
      </w:r>
    </w:p>
    <w:p w14:paraId="7410ABAC" w14:textId="77777777" w:rsidR="00745E1F" w:rsidRDefault="00745E1F" w:rsidP="00745E1F"/>
    <w:p w14:paraId="3E96D820" w14:textId="77777777" w:rsidR="00745E1F" w:rsidRPr="00745E1F" w:rsidRDefault="00745E1F" w:rsidP="00745E1F">
      <w:pPr>
        <w:widowControl w:val="0"/>
        <w:spacing w:after="281" w:line="199" w:lineRule="exact"/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9"/>
          <w:szCs w:val="19"/>
          <w:lang w:val="en-US"/>
        </w:rPr>
      </w:pPr>
      <w:r w:rsidRPr="00745E1F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9"/>
          <w:szCs w:val="19"/>
          <w:lang w:val="en-US"/>
        </w:rPr>
        <w:t>RÔLE OU BUT DU POSTE</w:t>
      </w:r>
    </w:p>
    <w:p w14:paraId="3BEE1A2B" w14:textId="08BD3DE7" w:rsidR="00745E1F" w:rsidRPr="00745E1F" w:rsidRDefault="00745E1F" w:rsidP="00745E1F">
      <w:pPr>
        <w:widowControl w:val="0"/>
        <w:spacing w:after="41" w:line="199" w:lineRule="exact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VA recherche un</w:t>
      </w:r>
      <w:r w:rsidR="001F1592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/e contractant/e 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indépendant</w:t>
      </w:r>
      <w:r w:rsidR="001F1592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/e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basé</w:t>
      </w:r>
      <w:r w:rsidR="001F1592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/e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en Haïti à temps partiel (par exemple, un consultant) pour répondre aux besoins accrus des programmes dans le domaine des communications et de la sensibilisation. VA 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fournit 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actuellement des micronutriments à un réseau de plus de 70 partenaires actifs du programme, y compris des organisations non gouvernementales (ONG)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, le Ministère de l’Éducation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Nationale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et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le 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M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inistère de la Santé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Publique et de la Population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(MSPP). 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Au cours de l’année 2022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, les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institutions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partenaires du programme </w:t>
      </w:r>
      <w:r w:rsidR="00CF68F1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de 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VA en Haïti ont connecté plus de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1,639,000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enfants de moins de 5 ans à la vitamine A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et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au déparasitage et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67,663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femmes enceintes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aux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suppléments de micronutriments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multiples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(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SMM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). Sous la direction du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D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irecteur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P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ays d'Haïti, le consultant chargé des communications contribuera à la croissance et au succès continus de VA en Haïti en se connectant activement avec les parties prenantes du programme et le grand public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H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aïtien.</w:t>
      </w:r>
    </w:p>
    <w:p w14:paraId="386EB598" w14:textId="77777777" w:rsidR="00745E1F" w:rsidRDefault="00745E1F" w:rsidP="00745E1F"/>
    <w:p w14:paraId="27E2CC64" w14:textId="77777777" w:rsidR="00D15739" w:rsidRDefault="00745E1F" w:rsidP="00745E1F">
      <w:pPr>
        <w:widowControl w:val="0"/>
        <w:spacing w:after="24" w:line="199" w:lineRule="exact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Les principales responsabilités comprennent :</w:t>
      </w:r>
      <w: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ab/>
      </w:r>
      <w: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ab/>
      </w:r>
      <w: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ab/>
      </w:r>
      <w: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ab/>
      </w:r>
      <w: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ab/>
      </w:r>
    </w:p>
    <w:p w14:paraId="54CFFE00" w14:textId="27EF7185" w:rsidR="00745E1F" w:rsidRPr="00745E1F" w:rsidRDefault="00745E1F" w:rsidP="00D15739">
      <w:pPr>
        <w:widowControl w:val="0"/>
        <w:spacing w:after="24" w:line="199" w:lineRule="exact"/>
        <w:ind w:left="7200"/>
        <w:rPr>
          <w:rFonts w:eastAsia="Arial Unicode MS" w:cstheme="minorHAnsi"/>
          <w:i/>
          <w:iCs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i/>
          <w:iCs/>
          <w:noProof/>
          <w:color w:val="000000"/>
          <w:spacing w:val="3"/>
          <w:sz w:val="20"/>
          <w:szCs w:val="20"/>
          <w:lang w:val="en-US"/>
        </w:rPr>
        <w:t>Programme (75 %)</w:t>
      </w:r>
    </w:p>
    <w:p w14:paraId="4A50399D" w14:textId="77777777" w:rsidR="00745E1F" w:rsidRPr="00745E1F" w:rsidRDefault="00745E1F" w:rsidP="00745E1F">
      <w:pPr>
        <w:widowControl w:val="0"/>
        <w:spacing w:after="128" w:line="180" w:lineRule="exact"/>
        <w:ind w:right="760"/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</w:pPr>
    </w:p>
    <w:p w14:paraId="02BF204B" w14:textId="48FE290D" w:rsidR="00745E1F" w:rsidRPr="00745E1F" w:rsidRDefault="00745E1F" w:rsidP="00745E1F">
      <w:pPr>
        <w:widowControl w:val="0"/>
        <w:spacing w:after="128" w:line="180" w:lineRule="exact"/>
        <w:ind w:right="760"/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  <w:t>Sensibilisation </w:t>
      </w:r>
      <w:r w:rsidRPr="00745E1F"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  <w:t>:</w:t>
      </w:r>
    </w:p>
    <w:p w14:paraId="79469211" w14:textId="77777777" w:rsidR="00745E1F" w:rsidRPr="00745E1F" w:rsidRDefault="00745E1F" w:rsidP="00745E1F">
      <w:pPr>
        <w:widowControl w:val="0"/>
        <w:spacing w:after="128" w:line="180" w:lineRule="exact"/>
        <w:ind w:right="760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bCs/>
          <w:noProof/>
          <w:color w:val="000000"/>
          <w:spacing w:val="3"/>
          <w:sz w:val="20"/>
          <w:szCs w:val="20"/>
          <w:lang w:val="en-US"/>
        </w:rPr>
        <w:t>Aider à s'engager dans des efforts de plaidoyer et de sensibilisation pour créer un environnement propice à la mise en œuvre d'interventions nutritionnelles soutenues par VA (le cas échéant) en Haïti parmi les principales parties prenantes,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y compris le gouvernement, les universités et les ONG. Le consultant fournira un soutien dans :</w:t>
      </w:r>
    </w:p>
    <w:p w14:paraId="7F1E99C0" w14:textId="7E38E164" w:rsidR="00745E1F" w:rsidRDefault="00745E1F" w:rsidP="00745E1F">
      <w:pPr>
        <w:pStyle w:val="ListParagraph"/>
        <w:numPr>
          <w:ilvl w:val="0"/>
          <w:numId w:val="1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Identifier et impliquer les principales parties prenantes, y compris les ONG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locales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, les ONG internationales, les universités, les entreprises/philanthropies locales et le gouvernement aux niveaux municipal et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central;</w:t>
      </w:r>
    </w:p>
    <w:p w14:paraId="1732EF14" w14:textId="46B210F2" w:rsidR="00745E1F" w:rsidRDefault="00745E1F" w:rsidP="00745E1F">
      <w:pPr>
        <w:pStyle w:val="ListParagraph"/>
        <w:numPr>
          <w:ilvl w:val="0"/>
          <w:numId w:val="1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Sensibiliser et établir un consensus parmi les principales parties prenantes concernant les avantages et l'utilisation efficace des interventions soutenues par </w:t>
      </w:r>
      <w:r w:rsidR="00194B44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VA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lors d'événements publics ou communautaires liés à la santé ;</w:t>
      </w:r>
    </w:p>
    <w:p w14:paraId="76D16FD9" w14:textId="035873C2" w:rsidR="00745E1F" w:rsidRPr="00745E1F" w:rsidRDefault="00745E1F" w:rsidP="00745E1F">
      <w:pPr>
        <w:pStyle w:val="ListParagraph"/>
        <w:numPr>
          <w:ilvl w:val="0"/>
          <w:numId w:val="1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Explorer les opportunités de soutenir les partenaires du programme avec le renforcement des capacités et le renforcement du programme 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ainsi que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la mise en réseau (c'est-à-dire l'Alliance VA).</w:t>
      </w:r>
    </w:p>
    <w:p w14:paraId="5BBCBEC8" w14:textId="77777777" w:rsidR="00745E1F" w:rsidRPr="00745E1F" w:rsidRDefault="00745E1F" w:rsidP="00745E1F">
      <w:pPr>
        <w:widowControl w:val="0"/>
        <w:spacing w:after="128" w:line="180" w:lineRule="exact"/>
        <w:ind w:right="760"/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</w:pPr>
    </w:p>
    <w:p w14:paraId="72EFEEAC" w14:textId="77777777" w:rsidR="00745E1F" w:rsidRPr="00745E1F" w:rsidRDefault="00745E1F" w:rsidP="00745E1F">
      <w:pPr>
        <w:widowControl w:val="0"/>
        <w:spacing w:after="128" w:line="180" w:lineRule="exact"/>
        <w:ind w:right="760"/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b/>
          <w:noProof/>
          <w:color w:val="000000"/>
          <w:spacing w:val="3"/>
          <w:sz w:val="20"/>
          <w:szCs w:val="20"/>
          <w:lang w:val="en-US"/>
        </w:rPr>
        <w:t>Communication :</w:t>
      </w:r>
    </w:p>
    <w:p w14:paraId="79A42B86" w14:textId="64F43B74" w:rsidR="00745E1F" w:rsidRPr="00745E1F" w:rsidRDefault="00745E1F" w:rsidP="00745E1F">
      <w:pPr>
        <w:widowControl w:val="0"/>
        <w:spacing w:after="128" w:line="180" w:lineRule="exact"/>
        <w:ind w:right="760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bCs/>
          <w:noProof/>
          <w:color w:val="000000"/>
          <w:spacing w:val="3"/>
          <w:sz w:val="20"/>
          <w:szCs w:val="20"/>
          <w:lang w:val="en-US"/>
        </w:rPr>
        <w:t xml:space="preserve">Aider le </w:t>
      </w:r>
      <w:r w:rsidR="0096684F">
        <w:rPr>
          <w:rFonts w:eastAsia="Arial Unicode MS" w:cstheme="minorHAnsi"/>
          <w:bCs/>
          <w:noProof/>
          <w:color w:val="000000"/>
          <w:spacing w:val="3"/>
          <w:sz w:val="20"/>
          <w:szCs w:val="20"/>
          <w:lang w:val="en-US"/>
        </w:rPr>
        <w:t>D</w:t>
      </w:r>
      <w:r w:rsidRPr="00745E1F">
        <w:rPr>
          <w:rFonts w:eastAsia="Arial Unicode MS" w:cstheme="minorHAnsi"/>
          <w:bCs/>
          <w:noProof/>
          <w:color w:val="000000"/>
          <w:spacing w:val="3"/>
          <w:sz w:val="20"/>
          <w:szCs w:val="20"/>
          <w:lang w:val="en-US"/>
        </w:rPr>
        <w:t>irecteur</w:t>
      </w:r>
      <w:r w:rsidR="0096684F">
        <w:rPr>
          <w:rFonts w:eastAsia="Arial Unicode MS" w:cstheme="minorHAnsi"/>
          <w:bCs/>
          <w:noProof/>
          <w:color w:val="000000"/>
          <w:spacing w:val="3"/>
          <w:sz w:val="20"/>
          <w:szCs w:val="20"/>
          <w:lang w:val="en-US"/>
        </w:rPr>
        <w:t xml:space="preserve"> P</w:t>
      </w:r>
      <w:r w:rsidRPr="00745E1F">
        <w:rPr>
          <w:rFonts w:eastAsia="Arial Unicode MS" w:cstheme="minorHAnsi"/>
          <w:bCs/>
          <w:noProof/>
          <w:color w:val="000000"/>
          <w:spacing w:val="3"/>
          <w:sz w:val="20"/>
          <w:szCs w:val="20"/>
          <w:lang w:val="en-US"/>
        </w:rPr>
        <w:t>ays et l'équipe d'Haïti à développer et à mettre en œuvre une stratégie de communication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au niveau national pour soutenir la mise en œuvre des interventions nutritionnelles soutenues par VA (le cas échéant). Le consultant fournira un soutien dans :</w:t>
      </w:r>
    </w:p>
    <w:p w14:paraId="2A26BB60" w14:textId="77777777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2AEF29EB" w14:textId="0FEF5604" w:rsidR="00745E1F" w:rsidRPr="00D15739" w:rsidRDefault="00745E1F" w:rsidP="00D15739">
      <w:pPr>
        <w:pStyle w:val="ListParagraph"/>
        <w:numPr>
          <w:ilvl w:val="0"/>
          <w:numId w:val="2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Élaboration d'une stratégie de communication écrite/officielle pour Haïti à usage interne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;</w:t>
      </w:r>
    </w:p>
    <w:p w14:paraId="3427E042" w14:textId="77777777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78D30D2E" w14:textId="6BC383BC" w:rsidR="00745E1F" w:rsidRPr="00D15739" w:rsidRDefault="00745E1F" w:rsidP="00D15739">
      <w:pPr>
        <w:pStyle w:val="ListParagraph"/>
        <w:numPr>
          <w:ilvl w:val="0"/>
          <w:numId w:val="2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Gestion et création de contenu des médias sociaux et des canaux de communication numériques (Facebook, WhatsApp, etc.) pour les partenaires du programme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;</w:t>
      </w:r>
    </w:p>
    <w:p w14:paraId="53AD894F" w14:textId="77777777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31B024F3" w14:textId="77777777" w:rsidR="00D15739" w:rsidRDefault="00D15739" w:rsidP="00D15739">
      <w:pPr>
        <w:ind w:left="6480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3517B245" w14:textId="77777777" w:rsidR="00D15739" w:rsidRDefault="00D15739" w:rsidP="00D15739">
      <w:pPr>
        <w:ind w:left="6480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17DFF6CC" w14:textId="77777777" w:rsidR="00D15739" w:rsidRDefault="00D15739" w:rsidP="00D15739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43796F3F" w14:textId="126AD80F" w:rsidR="00745E1F" w:rsidRPr="00745E1F" w:rsidRDefault="00745E1F" w:rsidP="001F1592">
      <w:pPr>
        <w:ind w:left="6480" w:firstLine="720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(</w:t>
      </w:r>
      <w:r w:rsid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Marketing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) (25%)</w:t>
      </w:r>
    </w:p>
    <w:p w14:paraId="24AD8BAC" w14:textId="464A0286" w:rsidR="00745E1F" w:rsidRPr="00D15739" w:rsidRDefault="00D15739" w:rsidP="00745E1F">
      <w:pPr>
        <w:rPr>
          <w:rFonts w:eastAsia="Arial Unicode MS" w:cstheme="minorHAnsi"/>
          <w:b/>
          <w:bCs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b/>
          <w:bCs/>
          <w:noProof/>
          <w:color w:val="000000"/>
          <w:spacing w:val="3"/>
          <w:sz w:val="20"/>
          <w:szCs w:val="20"/>
          <w:lang w:val="en-US"/>
        </w:rPr>
        <w:t>Marketing</w:t>
      </w:r>
      <w:r w:rsidR="00745E1F" w:rsidRPr="00D15739">
        <w:rPr>
          <w:rFonts w:eastAsia="Arial Unicode MS" w:cstheme="minorHAnsi"/>
          <w:b/>
          <w:bCs/>
          <w:noProof/>
          <w:color w:val="000000"/>
          <w:spacing w:val="3"/>
          <w:sz w:val="20"/>
          <w:szCs w:val="20"/>
          <w:lang w:val="en-US"/>
        </w:rPr>
        <w:t>/Marque</w:t>
      </w:r>
    </w:p>
    <w:p w14:paraId="30D3F969" w14:textId="77777777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Soutien à l'élaboration et à la mise en œuvre d'une stratégie de marketing au niveau national pour soutenir la mise en œuvre d'interventions nutritionnelles soutenues par VA (le cas échéant). Le consultant fournira un soutien dans :</w:t>
      </w:r>
    </w:p>
    <w:p w14:paraId="4F140643" w14:textId="77777777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4E411F5E" w14:textId="0EE45B72" w:rsidR="00745E1F" w:rsidRPr="00D15739" w:rsidRDefault="00745E1F" w:rsidP="00D15739">
      <w:pPr>
        <w:pStyle w:val="ListParagraph"/>
        <w:numPr>
          <w:ilvl w:val="0"/>
          <w:numId w:val="3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Assurer l'alignement interne et externe de la marque et de l'identité de VA en utilisant les outils et les directives du siège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;</w:t>
      </w:r>
    </w:p>
    <w:p w14:paraId="335D299F" w14:textId="46A1AA8C" w:rsidR="00745E1F" w:rsidRPr="00D15739" w:rsidRDefault="00745E1F" w:rsidP="00D15739">
      <w:pPr>
        <w:pStyle w:val="ListParagraph"/>
        <w:numPr>
          <w:ilvl w:val="0"/>
          <w:numId w:val="3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Le cas échéant, établir et maintenir des contacts avec les médias haïtiens - régionaux, nationaux et internationaux - et gérer les conférences de presse, les points de presse, les entretiens avec les médias, les visites et les événements publics dans le pays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;</w:t>
      </w:r>
    </w:p>
    <w:p w14:paraId="181295C0" w14:textId="063364FD" w:rsidR="00745E1F" w:rsidRPr="00D15739" w:rsidRDefault="00745E1F" w:rsidP="00D15739">
      <w:pPr>
        <w:pStyle w:val="ListParagraph"/>
        <w:numPr>
          <w:ilvl w:val="0"/>
          <w:numId w:val="3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Assurer la cohérence de la messagerie multimédia, y compris la surveillance du respect des médias, du logo et des autres protocoles de VA.</w:t>
      </w:r>
    </w:p>
    <w:p w14:paraId="1C07AA30" w14:textId="77777777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0EE76999" w14:textId="2ECE2DCA" w:rsidR="00D15739" w:rsidRPr="001F1592" w:rsidRDefault="00745E1F" w:rsidP="001F1592">
      <w:pPr>
        <w:widowControl w:val="0"/>
        <w:spacing w:after="281" w:line="199" w:lineRule="exact"/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9"/>
          <w:szCs w:val="19"/>
          <w:lang w:val="en-US"/>
        </w:rPr>
      </w:pPr>
      <w:r w:rsidRPr="001F1592">
        <w:rPr>
          <w:rFonts w:ascii="Arial Unicode MS" w:eastAsia="Arial Unicode MS" w:hAnsi="Arial Unicode MS" w:cs="Arial Unicode MS"/>
          <w:b/>
          <w:bCs/>
          <w:noProof/>
          <w:color w:val="000000"/>
          <w:spacing w:val="-1"/>
          <w:sz w:val="19"/>
          <w:szCs w:val="19"/>
          <w:lang w:val="en-US"/>
        </w:rPr>
        <w:t>CONNAISSANCES, COMPÉTENCES ET APTITUDES</w:t>
      </w:r>
    </w:p>
    <w:p w14:paraId="6885911F" w14:textId="77777777" w:rsidR="00745E1F" w:rsidRPr="00D15739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u w:val="single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u w:val="single"/>
          <w:lang w:val="en-US"/>
        </w:rPr>
        <w:t>Obligatoire:</w:t>
      </w:r>
    </w:p>
    <w:p w14:paraId="2FBEA07D" w14:textId="77777777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Parle couramment le français et le créole haïtien ;</w:t>
      </w:r>
    </w:p>
    <w:p w14:paraId="5A686713" w14:textId="77777777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Diplôme B.A./B.Sc d'une université accréditée de quatre ans avec un domaine de discipline pertinent;</w:t>
      </w:r>
    </w:p>
    <w:p w14:paraId="585ECF6E" w14:textId="77777777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Expérience préalable en communication ;</w:t>
      </w:r>
    </w:p>
    <w:p w14:paraId="3FA947A1" w14:textId="3B8752C6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Un minimum de deux ans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</w:t>
      </w: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d'expérience </w:t>
      </w:r>
      <w:r w:rsidR="0096684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progressive </w:t>
      </w: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en santé publique;</w:t>
      </w:r>
    </w:p>
    <w:p w14:paraId="62A70C0E" w14:textId="77777777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Connaissances en informatique et connaissances technologiques, y compris expérience en rédaction et développement de matériel de communication ;</w:t>
      </w:r>
    </w:p>
    <w:p w14:paraId="301EDE3F" w14:textId="77777777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Basé dans la région de Port-au-Prince et disposant d'une connectivité téléphonique et Internet fiable à domicile, car le poste sera principalement basé à domicile ; </w:t>
      </w:r>
    </w:p>
    <w:p w14:paraId="1A2726C7" w14:textId="77777777" w:rsidR="00D15739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Compétences supérieures en communication écrite et orale; et</w:t>
      </w:r>
    </w:p>
    <w:p w14:paraId="4F6F02DB" w14:textId="62E5C266" w:rsidR="00745E1F" w:rsidRDefault="00745E1F" w:rsidP="00745E1F">
      <w:pPr>
        <w:pStyle w:val="ListParagraph"/>
        <w:numPr>
          <w:ilvl w:val="0"/>
          <w:numId w:val="4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Compétences organisationnelles supérieures et souci du détail. </w:t>
      </w:r>
    </w:p>
    <w:p w14:paraId="235FA8CF" w14:textId="77777777" w:rsidR="00D15739" w:rsidRPr="00D15739" w:rsidRDefault="00D15739" w:rsidP="00D15739">
      <w:pPr>
        <w:pStyle w:val="ListParagraph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70CD5FC6" w14:textId="77777777" w:rsidR="00745E1F" w:rsidRPr="00D15739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u w:val="single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u w:val="single"/>
          <w:lang w:val="en-US"/>
        </w:rPr>
        <w:t>Hautement désirable:</w:t>
      </w:r>
    </w:p>
    <w:p w14:paraId="1364F6F7" w14:textId="77777777" w:rsidR="00D15739" w:rsidRDefault="00745E1F" w:rsidP="00745E1F">
      <w:pPr>
        <w:pStyle w:val="ListParagraph"/>
        <w:numPr>
          <w:ilvl w:val="0"/>
          <w:numId w:val="5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Diplôme de premier cycle en santé publique, politique de la santé, politique publique, développement international, nutrition, administration des affaires, communications ;</w:t>
      </w:r>
    </w:p>
    <w:p w14:paraId="28D85450" w14:textId="77777777" w:rsidR="00D15739" w:rsidRDefault="00745E1F" w:rsidP="00745E1F">
      <w:pPr>
        <w:pStyle w:val="ListParagraph"/>
        <w:numPr>
          <w:ilvl w:val="0"/>
          <w:numId w:val="5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Maîtrise de l'anglais</w:t>
      </w:r>
    </w:p>
    <w:p w14:paraId="65214741" w14:textId="0E274E51" w:rsidR="00745E1F" w:rsidRDefault="00745E1F" w:rsidP="00745E1F">
      <w:pPr>
        <w:pStyle w:val="ListParagraph"/>
        <w:numPr>
          <w:ilvl w:val="0"/>
          <w:numId w:val="5"/>
        </w:num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Expérience de travail et/ou de bénévolat avec une ONG/organisation communautaire et avec le MSPP.</w:t>
      </w:r>
    </w:p>
    <w:p w14:paraId="14F43752" w14:textId="77777777" w:rsidR="00D15739" w:rsidRPr="00D15739" w:rsidRDefault="00D15739" w:rsidP="00D15739">
      <w:pPr>
        <w:pStyle w:val="ListParagraph"/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48B77230" w14:textId="650B5F8D" w:rsid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POUR POSTULER, VEUILLEZ ENVOYER VOTRE CV PROFESSIONNEL ET UNE LETTRE DE MOTIVATION AU DR. MINAUD DACIUS, </w:t>
      </w:r>
      <w:hyperlink r:id="rId6" w:history="1">
        <w:r w:rsidR="00D15739" w:rsidRPr="00BD1FE0">
          <w:rPr>
            <w:rStyle w:val="Hyperlink"/>
            <w:rFonts w:eastAsia="Arial Unicode MS" w:cstheme="minorHAnsi"/>
            <w:noProof/>
            <w:spacing w:val="3"/>
            <w:sz w:val="20"/>
            <w:szCs w:val="20"/>
            <w:lang w:val="en-US"/>
          </w:rPr>
          <w:t>MDACIUS@VITAMINANGELS.ORG</w:t>
        </w:r>
      </w:hyperlink>
      <w:r w:rsid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</w:t>
      </w:r>
    </w:p>
    <w:p w14:paraId="005DA1A8" w14:textId="77777777" w:rsidR="00D15739" w:rsidRPr="00745E1F" w:rsidRDefault="00D15739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</w:p>
    <w:p w14:paraId="1F8C2CD7" w14:textId="25EAF963" w:rsidR="00745E1F" w:rsidRPr="00745E1F" w:rsidRDefault="00745E1F" w:rsidP="00745E1F">
      <w:pPr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</w:pP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>La date limite de soumission des candidatures est le 4 mars</w:t>
      </w:r>
      <w:r w:rsidR="00D15739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2023</w:t>
      </w:r>
      <w:r w:rsidRPr="00745E1F">
        <w:rPr>
          <w:rFonts w:eastAsia="Arial Unicode MS" w:cstheme="minorHAnsi"/>
          <w:noProof/>
          <w:color w:val="000000"/>
          <w:spacing w:val="3"/>
          <w:sz w:val="20"/>
          <w:szCs w:val="20"/>
          <w:lang w:val="en-US"/>
        </w:rPr>
        <w:t xml:space="preserve"> ou jusqu'à ce qu'un candidat qualifié soit trouvé.</w:t>
      </w:r>
    </w:p>
    <w:sectPr w:rsidR="00745E1F" w:rsidRPr="00745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260"/>
    <w:multiLevelType w:val="hybridMultilevel"/>
    <w:tmpl w:val="5A26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4D60"/>
    <w:multiLevelType w:val="hybridMultilevel"/>
    <w:tmpl w:val="4498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A11"/>
    <w:multiLevelType w:val="hybridMultilevel"/>
    <w:tmpl w:val="75E4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4607"/>
    <w:multiLevelType w:val="hybridMultilevel"/>
    <w:tmpl w:val="6B08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626A"/>
    <w:multiLevelType w:val="hybridMultilevel"/>
    <w:tmpl w:val="9B2A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86672">
    <w:abstractNumId w:val="3"/>
  </w:num>
  <w:num w:numId="2" w16cid:durableId="536698033">
    <w:abstractNumId w:val="0"/>
  </w:num>
  <w:num w:numId="3" w16cid:durableId="129641138">
    <w:abstractNumId w:val="2"/>
  </w:num>
  <w:num w:numId="4" w16cid:durableId="1225413326">
    <w:abstractNumId w:val="4"/>
  </w:num>
  <w:num w:numId="5" w16cid:durableId="87019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1F"/>
    <w:rsid w:val="00194B44"/>
    <w:rsid w:val="001F1592"/>
    <w:rsid w:val="004F0E8C"/>
    <w:rsid w:val="00745E1F"/>
    <w:rsid w:val="0096684F"/>
    <w:rsid w:val="00CF68F1"/>
    <w:rsid w:val="00D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57A9D"/>
  <w15:chartTrackingRefBased/>
  <w15:docId w15:val="{5F05A3A3-2D36-7A4B-A81E-66D2D211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CIUS@VITAMINANGE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Minaud Dacius</dc:creator>
  <cp:keywords/>
  <dc:description/>
  <cp:lastModifiedBy>Minaud Dacius</cp:lastModifiedBy>
  <cp:revision>2</cp:revision>
  <dcterms:created xsi:type="dcterms:W3CDTF">2023-02-02T22:15:00Z</dcterms:created>
  <dcterms:modified xsi:type="dcterms:W3CDTF">2023-02-06T15:16:00Z</dcterms:modified>
</cp:coreProperties>
</file>